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BB7C8" w14:textId="77777777" w:rsidR="001B51D3" w:rsidRPr="0097509B" w:rsidRDefault="001B51D3" w:rsidP="001B51D3">
      <w:pPr>
        <w:jc w:val="center"/>
        <w:rPr>
          <w:b/>
          <w:sz w:val="20"/>
          <w:szCs w:val="20"/>
          <w:lang w:val="ro-RO"/>
        </w:rPr>
      </w:pPr>
      <w:bookmarkStart w:id="0" w:name="_GoBack"/>
      <w:bookmarkEnd w:id="0"/>
      <w:r w:rsidRPr="0097509B">
        <w:rPr>
          <w:b/>
          <w:sz w:val="20"/>
          <w:szCs w:val="20"/>
          <w:lang w:val="ro-RO"/>
        </w:rPr>
        <w:t>TABELUL DIVERGENŢELOR</w:t>
      </w:r>
    </w:p>
    <w:p w14:paraId="0C6BB7C9" w14:textId="1E3CD49E" w:rsidR="00581E5D" w:rsidRPr="0097509B" w:rsidRDefault="001B51D3" w:rsidP="00E61BA1">
      <w:pPr>
        <w:jc w:val="center"/>
        <w:rPr>
          <w:b/>
          <w:sz w:val="20"/>
          <w:szCs w:val="20"/>
          <w:lang w:val="ro-RO"/>
        </w:rPr>
      </w:pPr>
      <w:r w:rsidRPr="0097509B">
        <w:rPr>
          <w:b/>
          <w:sz w:val="20"/>
          <w:szCs w:val="20"/>
          <w:lang w:val="ro-RO"/>
        </w:rPr>
        <w:t xml:space="preserve">la proiectul </w:t>
      </w:r>
      <w:r w:rsidR="00AF4630" w:rsidRPr="0097509B">
        <w:rPr>
          <w:b/>
          <w:sz w:val="20"/>
          <w:szCs w:val="20"/>
          <w:lang w:val="ro-RO"/>
        </w:rPr>
        <w:t xml:space="preserve">deciziei Consiliului municipal Chișinău </w:t>
      </w:r>
      <w:r w:rsidR="00581E5D" w:rsidRPr="0097509B">
        <w:rPr>
          <w:b/>
          <w:sz w:val="20"/>
          <w:szCs w:val="20"/>
          <w:lang w:val="ro-RO"/>
        </w:rPr>
        <w:t>„</w:t>
      </w:r>
      <w:r w:rsidR="00E61BA1" w:rsidRPr="0097509B">
        <w:rPr>
          <w:b/>
          <w:sz w:val="20"/>
          <w:szCs w:val="20"/>
          <w:lang w:val="ro-RO"/>
        </w:rPr>
        <w:t>aprobarea Regulamentului cu privire la vânzarea-cumpărarea prin  licitaţie a clădirilor, construcțiilor și încăperilor cu destinație nelocuibilă</w:t>
      </w:r>
      <w:r w:rsidR="0068002D">
        <w:rPr>
          <w:b/>
          <w:sz w:val="20"/>
          <w:szCs w:val="20"/>
          <w:lang w:val="ro-RO"/>
        </w:rPr>
        <w:t xml:space="preserve"> </w:t>
      </w:r>
      <w:bookmarkStart w:id="1" w:name="_Hlk106637258"/>
      <w:r w:rsidR="0068002D">
        <w:rPr>
          <w:b/>
          <w:sz w:val="20"/>
          <w:szCs w:val="20"/>
          <w:lang w:val="ro-RO"/>
        </w:rPr>
        <w:t>precum și cotelor-părți ale acestora</w:t>
      </w:r>
      <w:bookmarkEnd w:id="1"/>
      <w:r w:rsidR="00E61BA1" w:rsidRPr="0097509B">
        <w:rPr>
          <w:b/>
          <w:sz w:val="20"/>
          <w:szCs w:val="20"/>
          <w:lang w:val="ro-RO"/>
        </w:rPr>
        <w:t>, proprietate publică a municipiului Chişinău</w:t>
      </w:r>
      <w:r w:rsidR="00581E5D" w:rsidRPr="0097509B">
        <w:rPr>
          <w:b/>
          <w:sz w:val="20"/>
          <w:szCs w:val="20"/>
          <w:lang w:val="ro-RO"/>
        </w:rPr>
        <w:t>”</w:t>
      </w:r>
    </w:p>
    <w:p w14:paraId="0C6BB7CA" w14:textId="77777777" w:rsidR="001B51D3" w:rsidRPr="0097509B" w:rsidRDefault="001B51D3" w:rsidP="00C74E8A">
      <w:pPr>
        <w:jc w:val="center"/>
        <w:rPr>
          <w:b/>
          <w:sz w:val="20"/>
          <w:szCs w:val="20"/>
          <w:lang w:val="ro-RO"/>
        </w:rPr>
      </w:pPr>
    </w:p>
    <w:tbl>
      <w:tblPr>
        <w:tblStyle w:val="GrilTabel"/>
        <w:tblW w:w="0" w:type="auto"/>
        <w:tblLook w:val="01E0" w:firstRow="1" w:lastRow="1" w:firstColumn="1" w:lastColumn="1" w:noHBand="0" w:noVBand="0"/>
      </w:tblPr>
      <w:tblGrid>
        <w:gridCol w:w="3888"/>
        <w:gridCol w:w="6120"/>
        <w:gridCol w:w="4680"/>
      </w:tblGrid>
      <w:tr w:rsidR="001B51D3" w:rsidRPr="0097509B" w14:paraId="0C6BB7CE" w14:textId="77777777" w:rsidTr="0053178D">
        <w:tc>
          <w:tcPr>
            <w:tcW w:w="3888" w:type="dxa"/>
          </w:tcPr>
          <w:p w14:paraId="0C6BB7CB" w14:textId="77777777" w:rsidR="001B51D3" w:rsidRPr="0097509B" w:rsidRDefault="005008B7" w:rsidP="0053178D">
            <w:pPr>
              <w:jc w:val="center"/>
              <w:rPr>
                <w:b/>
                <w:sz w:val="20"/>
                <w:szCs w:val="20"/>
              </w:rPr>
            </w:pPr>
            <w:r w:rsidRPr="0097509B">
              <w:rPr>
                <w:b/>
                <w:sz w:val="20"/>
                <w:szCs w:val="20"/>
              </w:rPr>
              <w:t>Participant la procedura de consultare</w:t>
            </w:r>
          </w:p>
        </w:tc>
        <w:tc>
          <w:tcPr>
            <w:tcW w:w="6120" w:type="dxa"/>
          </w:tcPr>
          <w:p w14:paraId="0C6BB7CC" w14:textId="77777777" w:rsidR="001B51D3" w:rsidRPr="0097509B" w:rsidRDefault="001B51D3" w:rsidP="0053178D">
            <w:pPr>
              <w:jc w:val="center"/>
              <w:rPr>
                <w:b/>
                <w:sz w:val="20"/>
                <w:szCs w:val="20"/>
              </w:rPr>
            </w:pPr>
            <w:r w:rsidRPr="0097509B">
              <w:rPr>
                <w:b/>
                <w:sz w:val="20"/>
                <w:szCs w:val="20"/>
              </w:rPr>
              <w:t>Conţinutul obiecţiilor</w:t>
            </w:r>
          </w:p>
        </w:tc>
        <w:tc>
          <w:tcPr>
            <w:tcW w:w="4680" w:type="dxa"/>
          </w:tcPr>
          <w:p w14:paraId="0C6BB7CD" w14:textId="77777777" w:rsidR="001B51D3" w:rsidRPr="0097509B" w:rsidRDefault="001B51D3" w:rsidP="0053178D">
            <w:pPr>
              <w:jc w:val="center"/>
              <w:rPr>
                <w:b/>
                <w:sz w:val="20"/>
                <w:szCs w:val="20"/>
              </w:rPr>
            </w:pPr>
            <w:r w:rsidRPr="0097509B">
              <w:rPr>
                <w:b/>
                <w:sz w:val="20"/>
                <w:szCs w:val="20"/>
              </w:rPr>
              <w:t>Decizia/explicaţia</w:t>
            </w:r>
          </w:p>
        </w:tc>
      </w:tr>
      <w:tr w:rsidR="00E154C4" w:rsidRPr="00F82190" w14:paraId="0C6BB7DB" w14:textId="77777777" w:rsidTr="005C0398">
        <w:tblPrEx>
          <w:tblLook w:val="04A0" w:firstRow="1" w:lastRow="0" w:firstColumn="1" w:lastColumn="0" w:noHBand="0" w:noVBand="1"/>
        </w:tblPrEx>
        <w:trPr>
          <w:trHeight w:val="397"/>
        </w:trPr>
        <w:tc>
          <w:tcPr>
            <w:tcW w:w="3888" w:type="dxa"/>
          </w:tcPr>
          <w:p w14:paraId="0C6BB7CF" w14:textId="04C218BC" w:rsidR="00E154C4" w:rsidRPr="0097509B" w:rsidRDefault="00487D61" w:rsidP="009C259C">
            <w:pPr>
              <w:jc w:val="center"/>
              <w:rPr>
                <w:bCs/>
                <w:sz w:val="20"/>
                <w:szCs w:val="20"/>
              </w:rPr>
            </w:pPr>
            <w:r w:rsidRPr="0097509B">
              <w:rPr>
                <w:b/>
                <w:sz w:val="20"/>
                <w:szCs w:val="20"/>
              </w:rPr>
              <w:t>Direcția asistența juridică a Primăriei</w:t>
            </w:r>
            <w:r w:rsidRPr="0097509B">
              <w:rPr>
                <w:bCs/>
                <w:sz w:val="20"/>
                <w:szCs w:val="20"/>
              </w:rPr>
              <w:t xml:space="preserve"> municipiului Chișinău prin avizul nr. 460 din 03.06.2022</w:t>
            </w:r>
          </w:p>
        </w:tc>
        <w:tc>
          <w:tcPr>
            <w:tcW w:w="6120" w:type="dxa"/>
          </w:tcPr>
          <w:p w14:paraId="581523C4" w14:textId="77777777" w:rsidR="00757350" w:rsidRPr="0097509B" w:rsidRDefault="00487D61" w:rsidP="00634374">
            <w:pPr>
              <w:jc w:val="both"/>
              <w:rPr>
                <w:sz w:val="20"/>
                <w:szCs w:val="20"/>
              </w:rPr>
            </w:pPr>
            <w:r w:rsidRPr="0097509B">
              <w:rPr>
                <w:sz w:val="20"/>
                <w:szCs w:val="20"/>
              </w:rPr>
              <w:t xml:space="preserve">Excluderea pct. 1.6 și pct. 4.11 din proiectul de Regulament. </w:t>
            </w:r>
          </w:p>
          <w:p w14:paraId="09D2FDC4" w14:textId="03F1389A" w:rsidR="00CD11FF" w:rsidRPr="0097509B" w:rsidRDefault="00487D61" w:rsidP="00634374">
            <w:pPr>
              <w:jc w:val="both"/>
              <w:rPr>
                <w:sz w:val="20"/>
                <w:szCs w:val="20"/>
              </w:rPr>
            </w:pPr>
            <w:r w:rsidRPr="0097509B">
              <w:rPr>
                <w:sz w:val="20"/>
                <w:szCs w:val="20"/>
              </w:rPr>
              <w:t>„1.6</w:t>
            </w:r>
            <w:r w:rsidR="00757350" w:rsidRPr="0097509B">
              <w:rPr>
                <w:sz w:val="20"/>
                <w:szCs w:val="20"/>
              </w:rPr>
              <w:t xml:space="preserve"> </w:t>
            </w:r>
            <w:r w:rsidRPr="0097509B">
              <w:rPr>
                <w:sz w:val="20"/>
                <w:szCs w:val="20"/>
              </w:rPr>
              <w:t xml:space="preserve">Selectarea câștigătorului se efectuează prin organizarea licitaţiilor „cu strigare” sau prin „negocieri directe”, în cazul unui singur cumpărător și pentru locatarii ce dețin contracte de locațiune cu Consiliul municipal Chișinău pe încăperi nelocuibile cu dreptul de privatizare, încheiate până la intrarea în vigoare a prevederilor Legii nr. 99 din 24.08.2021 pentru modificarea Legii nr. 121/2007 privind administrarea și </w:t>
            </w:r>
            <w:proofErr w:type="spellStart"/>
            <w:r w:rsidRPr="0097509B">
              <w:rPr>
                <w:sz w:val="20"/>
                <w:szCs w:val="20"/>
              </w:rPr>
              <w:t>deetatizarea</w:t>
            </w:r>
            <w:proofErr w:type="spellEnd"/>
            <w:r w:rsidRPr="0097509B">
              <w:rPr>
                <w:sz w:val="20"/>
                <w:szCs w:val="20"/>
              </w:rPr>
              <w:t xml:space="preserve"> proprietății publice.”</w:t>
            </w:r>
          </w:p>
          <w:p w14:paraId="1CF61515" w14:textId="77777777" w:rsidR="00487D61" w:rsidRPr="0097509B" w:rsidRDefault="00487D61" w:rsidP="00634374">
            <w:pPr>
              <w:jc w:val="both"/>
              <w:rPr>
                <w:sz w:val="20"/>
                <w:szCs w:val="20"/>
              </w:rPr>
            </w:pPr>
            <w:r w:rsidRPr="0097509B">
              <w:rPr>
                <w:sz w:val="20"/>
                <w:szCs w:val="20"/>
              </w:rPr>
              <w:t>4.11.</w:t>
            </w:r>
            <w:r w:rsidRPr="0097509B">
              <w:rPr>
                <w:sz w:val="20"/>
                <w:szCs w:val="20"/>
              </w:rPr>
              <w:tab/>
              <w:t xml:space="preserve">În cazul înregistrării la licitaţia cu strigare a unui singur participant sau la privatizarea încăperilor de către locatarii care au încheiate contracte de locațiune cu Consiliul municipal Chișinău pe încăperi nelocuibile cu drept de privatizare până la intrare în vigoare a prevederilor Legii nr. 99 din 24.08.2021 pentru modificarea Legii nr. 121/2007 privind administrarea și </w:t>
            </w:r>
            <w:proofErr w:type="spellStart"/>
            <w:r w:rsidRPr="0097509B">
              <w:rPr>
                <w:sz w:val="20"/>
                <w:szCs w:val="20"/>
              </w:rPr>
              <w:t>deetatizarea</w:t>
            </w:r>
            <w:proofErr w:type="spellEnd"/>
            <w:r w:rsidRPr="0097509B">
              <w:rPr>
                <w:sz w:val="20"/>
                <w:szCs w:val="20"/>
              </w:rPr>
              <w:t xml:space="preserve"> proprietății publice, Comisia este în drept să vândă bunul imobil la un preţ mai mare decât preţul de expunere, dar nu mai mic decât limita unui pas.”</w:t>
            </w:r>
          </w:p>
          <w:p w14:paraId="0C6BB7D4" w14:textId="6C6E31F1" w:rsidR="00487D61" w:rsidRPr="0097509B" w:rsidRDefault="00487D61" w:rsidP="00634374">
            <w:pPr>
              <w:jc w:val="both"/>
              <w:rPr>
                <w:sz w:val="20"/>
                <w:szCs w:val="20"/>
              </w:rPr>
            </w:pPr>
            <w:r w:rsidRPr="0097509B">
              <w:rPr>
                <w:sz w:val="20"/>
                <w:szCs w:val="20"/>
              </w:rPr>
              <w:t>Pe motivul că de la data intrării în vigoare a legii noi, efectele legii vechi încetează.</w:t>
            </w:r>
          </w:p>
        </w:tc>
        <w:tc>
          <w:tcPr>
            <w:tcW w:w="4680" w:type="dxa"/>
          </w:tcPr>
          <w:p w14:paraId="7DCBD3EE" w14:textId="77777777" w:rsidR="00E154C4" w:rsidRPr="0097509B" w:rsidRDefault="00487D61" w:rsidP="0053178D">
            <w:pPr>
              <w:jc w:val="both"/>
              <w:rPr>
                <w:sz w:val="20"/>
                <w:szCs w:val="20"/>
              </w:rPr>
            </w:pPr>
            <w:r w:rsidRPr="0097509B">
              <w:rPr>
                <w:b/>
                <w:bCs/>
                <w:sz w:val="20"/>
                <w:szCs w:val="20"/>
              </w:rPr>
              <w:t>Se acceptă parțial</w:t>
            </w:r>
            <w:r w:rsidRPr="0097509B">
              <w:rPr>
                <w:sz w:val="20"/>
                <w:szCs w:val="20"/>
              </w:rPr>
              <w:t>.</w:t>
            </w:r>
          </w:p>
          <w:p w14:paraId="0C6BB7DA" w14:textId="740D7CD2" w:rsidR="00487D61" w:rsidRPr="0097509B" w:rsidRDefault="007E36CF" w:rsidP="0053178D">
            <w:pPr>
              <w:jc w:val="both"/>
              <w:rPr>
                <w:sz w:val="20"/>
                <w:szCs w:val="20"/>
              </w:rPr>
            </w:pPr>
            <w:r w:rsidRPr="0097509B">
              <w:rPr>
                <w:sz w:val="20"/>
                <w:szCs w:val="20"/>
              </w:rPr>
              <w:t>Conform prevederilor pct. 26</w:t>
            </w:r>
            <w:r w:rsidRPr="0097509B">
              <w:rPr>
                <w:sz w:val="20"/>
                <w:szCs w:val="20"/>
                <w:vertAlign w:val="superscript"/>
              </w:rPr>
              <w:t>1</w:t>
            </w:r>
            <w:r w:rsidRPr="0097509B">
              <w:rPr>
                <w:sz w:val="20"/>
                <w:szCs w:val="20"/>
              </w:rPr>
              <w:t xml:space="preserve"> din HG nr. 136/2009 „Cu privire la aprobarea Regulamentului privind </w:t>
            </w:r>
            <w:r w:rsidR="00757350" w:rsidRPr="0097509B">
              <w:rPr>
                <w:sz w:val="20"/>
                <w:szCs w:val="20"/>
              </w:rPr>
              <w:t>licitațiile</w:t>
            </w:r>
            <w:r w:rsidRPr="0097509B">
              <w:rPr>
                <w:sz w:val="20"/>
                <w:szCs w:val="20"/>
              </w:rPr>
              <w:t xml:space="preserve"> cu strigare şi cu reducere” - În cazul înregistrării la </w:t>
            </w:r>
            <w:r w:rsidR="00757350" w:rsidRPr="0097509B">
              <w:rPr>
                <w:sz w:val="20"/>
                <w:szCs w:val="20"/>
              </w:rPr>
              <w:t>licitația</w:t>
            </w:r>
            <w:r w:rsidRPr="0097509B">
              <w:rPr>
                <w:sz w:val="20"/>
                <w:szCs w:val="20"/>
              </w:rPr>
              <w:t xml:space="preserve"> a unui singur participant, Comisia este în drept să </w:t>
            </w:r>
            <w:r w:rsidR="00757350" w:rsidRPr="0097509B">
              <w:rPr>
                <w:sz w:val="20"/>
                <w:szCs w:val="20"/>
              </w:rPr>
              <w:t>vândă</w:t>
            </w:r>
            <w:r w:rsidRPr="0097509B">
              <w:rPr>
                <w:sz w:val="20"/>
                <w:szCs w:val="20"/>
              </w:rPr>
              <w:t xml:space="preserve"> acestuia bunul solicitat la </w:t>
            </w:r>
            <w:r w:rsidR="00757350" w:rsidRPr="0097509B">
              <w:rPr>
                <w:sz w:val="20"/>
                <w:szCs w:val="20"/>
              </w:rPr>
              <w:t>prețul</w:t>
            </w:r>
            <w:r w:rsidRPr="0097509B">
              <w:rPr>
                <w:sz w:val="20"/>
                <w:szCs w:val="20"/>
              </w:rPr>
              <w:t xml:space="preserve"> de expunere sau în limita unui pas.</w:t>
            </w:r>
          </w:p>
        </w:tc>
      </w:tr>
      <w:tr w:rsidR="00757350" w:rsidRPr="00F82190" w14:paraId="5F8DE844" w14:textId="77777777" w:rsidTr="005C0398">
        <w:tblPrEx>
          <w:tblLook w:val="04A0" w:firstRow="1" w:lastRow="0" w:firstColumn="1" w:lastColumn="0" w:noHBand="0" w:noVBand="1"/>
        </w:tblPrEx>
        <w:trPr>
          <w:trHeight w:val="397"/>
        </w:trPr>
        <w:tc>
          <w:tcPr>
            <w:tcW w:w="3888" w:type="dxa"/>
          </w:tcPr>
          <w:p w14:paraId="35C588D4" w14:textId="77777777" w:rsidR="00757350" w:rsidRPr="0097509B" w:rsidRDefault="00757350" w:rsidP="009C259C">
            <w:pPr>
              <w:jc w:val="center"/>
              <w:rPr>
                <w:bCs/>
                <w:sz w:val="20"/>
                <w:szCs w:val="20"/>
              </w:rPr>
            </w:pPr>
            <w:r w:rsidRPr="0097509B">
              <w:rPr>
                <w:b/>
                <w:sz w:val="20"/>
                <w:szCs w:val="20"/>
              </w:rPr>
              <w:t>Direcția generală locativ-comunală și amenajare a CMC</w:t>
            </w:r>
            <w:r w:rsidRPr="0097509B">
              <w:rPr>
                <w:bCs/>
                <w:sz w:val="20"/>
                <w:szCs w:val="20"/>
              </w:rPr>
              <w:t xml:space="preserve"> </w:t>
            </w:r>
          </w:p>
          <w:p w14:paraId="7E8179E5" w14:textId="2D61D01E" w:rsidR="00757350" w:rsidRPr="0097509B" w:rsidRDefault="00757350" w:rsidP="00757350">
            <w:pPr>
              <w:jc w:val="center"/>
              <w:rPr>
                <w:b/>
                <w:sz w:val="20"/>
                <w:szCs w:val="20"/>
              </w:rPr>
            </w:pPr>
            <w:r w:rsidRPr="0097509B">
              <w:rPr>
                <w:bCs/>
                <w:sz w:val="20"/>
                <w:szCs w:val="20"/>
              </w:rPr>
              <w:t>prin avizul nr. 1062/22  din 03.06.2022</w:t>
            </w:r>
          </w:p>
        </w:tc>
        <w:tc>
          <w:tcPr>
            <w:tcW w:w="6120" w:type="dxa"/>
          </w:tcPr>
          <w:p w14:paraId="482E4B0A" w14:textId="6DBD9234" w:rsidR="00757350" w:rsidRPr="0097509B" w:rsidRDefault="00757350" w:rsidP="00634374">
            <w:pPr>
              <w:jc w:val="both"/>
              <w:rPr>
                <w:sz w:val="20"/>
                <w:szCs w:val="20"/>
              </w:rPr>
            </w:pPr>
            <w:r w:rsidRPr="0097509B">
              <w:rPr>
                <w:sz w:val="20"/>
                <w:szCs w:val="20"/>
              </w:rPr>
              <w:t xml:space="preserve">Se propune: de rând cu încăperile </w:t>
            </w:r>
            <w:proofErr w:type="spellStart"/>
            <w:r w:rsidRPr="0097509B">
              <w:rPr>
                <w:sz w:val="20"/>
                <w:szCs w:val="20"/>
              </w:rPr>
              <w:t>nelocative</w:t>
            </w:r>
            <w:proofErr w:type="spellEnd"/>
            <w:r w:rsidRPr="0097509B">
              <w:rPr>
                <w:sz w:val="20"/>
                <w:szCs w:val="20"/>
              </w:rPr>
              <w:t>, să</w:t>
            </w:r>
            <w:r w:rsidR="005904D4" w:rsidRPr="0097509B">
              <w:rPr>
                <w:sz w:val="20"/>
                <w:szCs w:val="20"/>
              </w:rPr>
              <w:t xml:space="preserve"> </w:t>
            </w:r>
            <w:r w:rsidRPr="0097509B">
              <w:rPr>
                <w:sz w:val="20"/>
                <w:szCs w:val="20"/>
              </w:rPr>
              <w:t>fie expuse la vânzarea-cumpărarea prin licitaț</w:t>
            </w:r>
            <w:r w:rsidR="005904D4" w:rsidRPr="0097509B">
              <w:rPr>
                <w:sz w:val="20"/>
                <w:szCs w:val="20"/>
              </w:rPr>
              <w:t>ie și locuințele (inclusiv cotele-părți din locuințe) proprietate publică a municipiului Chișinău.</w:t>
            </w:r>
          </w:p>
        </w:tc>
        <w:tc>
          <w:tcPr>
            <w:tcW w:w="4680" w:type="dxa"/>
          </w:tcPr>
          <w:p w14:paraId="121D2598" w14:textId="7E11582A" w:rsidR="00757350" w:rsidRPr="0097509B" w:rsidRDefault="00182875" w:rsidP="0053178D">
            <w:pPr>
              <w:jc w:val="both"/>
              <w:rPr>
                <w:b/>
                <w:bCs/>
                <w:sz w:val="20"/>
                <w:szCs w:val="20"/>
              </w:rPr>
            </w:pPr>
            <w:r>
              <w:rPr>
                <w:b/>
                <w:bCs/>
                <w:sz w:val="20"/>
                <w:szCs w:val="20"/>
              </w:rPr>
              <w:t>Nu se acceptă.</w:t>
            </w:r>
          </w:p>
          <w:p w14:paraId="33019A6C" w14:textId="7FC45230" w:rsidR="005904D4" w:rsidRPr="00F82190" w:rsidRDefault="00FA3E2F" w:rsidP="0053178D">
            <w:pPr>
              <w:jc w:val="both"/>
              <w:rPr>
                <w:sz w:val="20"/>
                <w:szCs w:val="20"/>
                <w:lang w:val="fr-FR"/>
              </w:rPr>
            </w:pPr>
            <w:r w:rsidRPr="0097509B">
              <w:rPr>
                <w:sz w:val="20"/>
                <w:szCs w:val="20"/>
              </w:rPr>
              <w:t xml:space="preserve">Prezentul Regulament este elaborat în </w:t>
            </w:r>
            <w:r w:rsidR="00EC5859">
              <w:rPr>
                <w:sz w:val="20"/>
                <w:szCs w:val="20"/>
              </w:rPr>
              <w:t>temeiul</w:t>
            </w:r>
            <w:r w:rsidRPr="0097509B">
              <w:rPr>
                <w:sz w:val="20"/>
                <w:szCs w:val="20"/>
              </w:rPr>
              <w:t xml:space="preserve"> Legii nr. 121-XVI/2007</w:t>
            </w:r>
            <w:r w:rsidR="004442F4" w:rsidRPr="0097509B">
              <w:rPr>
                <w:sz w:val="20"/>
                <w:szCs w:val="20"/>
              </w:rPr>
              <w:t xml:space="preserve">, iar </w:t>
            </w:r>
            <w:r w:rsidR="00AA77C8">
              <w:rPr>
                <w:sz w:val="20"/>
                <w:szCs w:val="20"/>
              </w:rPr>
              <w:t>î</w:t>
            </w:r>
            <w:r w:rsidR="004442F4" w:rsidRPr="0097509B">
              <w:rPr>
                <w:sz w:val="20"/>
                <w:szCs w:val="20"/>
              </w:rPr>
              <w:t xml:space="preserve">n conformitate cu art. 1 (2) „sub incidența prezentei legi cad: proprietatea publică a statului și proprietatea publică a unității administrativ-teritoriale, cu excepția finanțelor publice și </w:t>
            </w:r>
            <w:r w:rsidR="004442F4" w:rsidRPr="0097509B">
              <w:rPr>
                <w:b/>
                <w:bCs/>
                <w:sz w:val="20"/>
                <w:szCs w:val="20"/>
                <w:u w:val="single"/>
              </w:rPr>
              <w:t>a locuințelor</w:t>
            </w:r>
            <w:r w:rsidR="004442F4" w:rsidRPr="0097509B">
              <w:rPr>
                <w:sz w:val="20"/>
                <w:szCs w:val="20"/>
              </w:rPr>
              <w:t>”.</w:t>
            </w:r>
            <w:r w:rsidR="00833F7D">
              <w:rPr>
                <w:sz w:val="20"/>
                <w:szCs w:val="20"/>
              </w:rPr>
              <w:t xml:space="preserve"> </w:t>
            </w:r>
            <w:r w:rsidR="005904D4" w:rsidRPr="0097509B">
              <w:rPr>
                <w:sz w:val="20"/>
                <w:szCs w:val="20"/>
              </w:rPr>
              <w:t xml:space="preserve">Procesul de privatizare a fondului de locuințe </w:t>
            </w:r>
            <w:r w:rsidR="00E56FAF">
              <w:rPr>
                <w:sz w:val="20"/>
                <w:szCs w:val="20"/>
              </w:rPr>
              <w:t>este reglementat prin</w:t>
            </w:r>
            <w:r w:rsidR="005904D4" w:rsidRPr="0097509B">
              <w:rPr>
                <w:sz w:val="20"/>
                <w:szCs w:val="20"/>
              </w:rPr>
              <w:t xml:space="preserve">  Legea </w:t>
            </w:r>
            <w:r w:rsidR="004442F4" w:rsidRPr="0097509B">
              <w:rPr>
                <w:sz w:val="20"/>
                <w:szCs w:val="20"/>
              </w:rPr>
              <w:t>nr. 1324/1993.</w:t>
            </w:r>
          </w:p>
        </w:tc>
      </w:tr>
      <w:tr w:rsidR="00E154C4" w:rsidRPr="00F82190" w14:paraId="0C6BB7E0" w14:textId="77777777" w:rsidTr="005C0398">
        <w:trPr>
          <w:trHeight w:val="397"/>
        </w:trPr>
        <w:tc>
          <w:tcPr>
            <w:tcW w:w="3888" w:type="dxa"/>
          </w:tcPr>
          <w:p w14:paraId="77AF6144" w14:textId="77777777" w:rsidR="00BB3008" w:rsidRPr="0097509B" w:rsidRDefault="00BB3008" w:rsidP="0053178D">
            <w:pPr>
              <w:jc w:val="center"/>
              <w:rPr>
                <w:b/>
                <w:sz w:val="20"/>
                <w:szCs w:val="20"/>
              </w:rPr>
            </w:pPr>
            <w:r w:rsidRPr="0097509B">
              <w:rPr>
                <w:b/>
                <w:sz w:val="20"/>
                <w:szCs w:val="20"/>
              </w:rPr>
              <w:t>SRL „</w:t>
            </w:r>
            <w:proofErr w:type="spellStart"/>
            <w:r w:rsidRPr="0097509B">
              <w:rPr>
                <w:b/>
                <w:sz w:val="20"/>
                <w:szCs w:val="20"/>
              </w:rPr>
              <w:t>Moldtrans-Tur</w:t>
            </w:r>
            <w:proofErr w:type="spellEnd"/>
            <w:r w:rsidRPr="0097509B">
              <w:rPr>
                <w:b/>
                <w:sz w:val="20"/>
                <w:szCs w:val="20"/>
              </w:rPr>
              <w:t xml:space="preserve">”, </w:t>
            </w:r>
          </w:p>
          <w:p w14:paraId="0C6BB7DC" w14:textId="6E8ECF30" w:rsidR="00E154C4" w:rsidRPr="0097509B" w:rsidRDefault="00BB3008" w:rsidP="0053178D">
            <w:pPr>
              <w:jc w:val="center"/>
              <w:rPr>
                <w:b/>
                <w:sz w:val="20"/>
                <w:szCs w:val="20"/>
              </w:rPr>
            </w:pPr>
            <w:r w:rsidRPr="0097509B">
              <w:rPr>
                <w:bCs/>
                <w:sz w:val="20"/>
                <w:szCs w:val="20"/>
              </w:rPr>
              <w:t>participant la dezbaterea publică a proiectului din 13.06.2022</w:t>
            </w:r>
          </w:p>
        </w:tc>
        <w:tc>
          <w:tcPr>
            <w:tcW w:w="6120" w:type="dxa"/>
          </w:tcPr>
          <w:p w14:paraId="0C6BB7DE" w14:textId="55685FDD" w:rsidR="00E154C4" w:rsidRPr="0097509B" w:rsidRDefault="00BB3008" w:rsidP="00757350">
            <w:pPr>
              <w:jc w:val="both"/>
              <w:rPr>
                <w:bCs/>
                <w:sz w:val="20"/>
                <w:szCs w:val="20"/>
              </w:rPr>
            </w:pPr>
            <w:r w:rsidRPr="0097509B">
              <w:rPr>
                <w:bCs/>
                <w:sz w:val="20"/>
                <w:szCs w:val="20"/>
              </w:rPr>
              <w:t>Se propune</w:t>
            </w:r>
            <w:r w:rsidR="00757350" w:rsidRPr="0097509B">
              <w:rPr>
                <w:bCs/>
                <w:sz w:val="20"/>
                <w:szCs w:val="20"/>
              </w:rPr>
              <w:t xml:space="preserve">: </w:t>
            </w:r>
            <w:r w:rsidRPr="0097509B">
              <w:rPr>
                <w:bCs/>
                <w:sz w:val="20"/>
                <w:szCs w:val="20"/>
              </w:rPr>
              <w:t>descrierea procedurilor și condițiilor aplicabile administrării bunurilor proprietate comună pe cote-părți, cu accent pe recomandarea de atribuire a întregului bun, în schimbul unei sulte, în favoarea unui coproprietar sau în favoarea mai multor coproprietari, la cerea lor comună</w:t>
            </w:r>
          </w:p>
        </w:tc>
        <w:tc>
          <w:tcPr>
            <w:tcW w:w="4680" w:type="dxa"/>
          </w:tcPr>
          <w:p w14:paraId="5B2D0FAF" w14:textId="77777777" w:rsidR="00E154C4" w:rsidRPr="0097509B" w:rsidRDefault="00BB3008" w:rsidP="001A16AA">
            <w:pPr>
              <w:jc w:val="both"/>
              <w:rPr>
                <w:b/>
                <w:bCs/>
                <w:sz w:val="20"/>
                <w:szCs w:val="20"/>
              </w:rPr>
            </w:pPr>
            <w:r w:rsidRPr="0097509B">
              <w:rPr>
                <w:b/>
                <w:bCs/>
                <w:sz w:val="20"/>
                <w:szCs w:val="20"/>
              </w:rPr>
              <w:t>Se acceptă parțial.</w:t>
            </w:r>
          </w:p>
          <w:p w14:paraId="0C6BB7DF" w14:textId="1EBFA75D" w:rsidR="00BB3008" w:rsidRPr="0097509B" w:rsidRDefault="00BB3008" w:rsidP="001A16AA">
            <w:pPr>
              <w:jc w:val="both"/>
              <w:rPr>
                <w:sz w:val="20"/>
                <w:szCs w:val="20"/>
              </w:rPr>
            </w:pPr>
            <w:r w:rsidRPr="0097509B">
              <w:rPr>
                <w:sz w:val="20"/>
                <w:szCs w:val="20"/>
              </w:rPr>
              <w:t>Textul regulamentului a fost completat cu sintagma „precum și cotelor-părți ale acestora”. S-a inclus prevederea „2.2.2.3.</w:t>
            </w:r>
            <w:r w:rsidRPr="0097509B">
              <w:rPr>
                <w:sz w:val="20"/>
                <w:szCs w:val="20"/>
              </w:rPr>
              <w:tab/>
              <w:t>În cazul vânzării la licitație cu strigare a unei cote-părți din bunurile proprietate comună pe cote părți, organizatorul licitației va notifica pe ceilalți coproprietari cu cel puțin 10 zile înainte de data organizării licitației.”</w:t>
            </w:r>
          </w:p>
        </w:tc>
      </w:tr>
    </w:tbl>
    <w:p w14:paraId="0C6BB837" w14:textId="77777777" w:rsidR="006230CA" w:rsidRPr="0021480C" w:rsidRDefault="006230CA">
      <w:pPr>
        <w:rPr>
          <w:sz w:val="26"/>
          <w:szCs w:val="26"/>
          <w:lang w:val="ro-RO"/>
        </w:rPr>
      </w:pPr>
    </w:p>
    <w:sectPr w:rsidR="006230CA" w:rsidRPr="0021480C" w:rsidSect="005C25A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2FA7"/>
    <w:multiLevelType w:val="hybridMultilevel"/>
    <w:tmpl w:val="C6F42166"/>
    <w:lvl w:ilvl="0" w:tplc="D4B824BC">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nsid w:val="54F92747"/>
    <w:multiLevelType w:val="hybridMultilevel"/>
    <w:tmpl w:val="F8B60AC2"/>
    <w:lvl w:ilvl="0" w:tplc="133C44CE">
      <w:start w:val="1"/>
      <w:numFmt w:val="decimal"/>
      <w:lvlText w:val="%1)"/>
      <w:lvlJc w:val="left"/>
      <w:pPr>
        <w:tabs>
          <w:tab w:val="num" w:pos="927"/>
        </w:tabs>
        <w:ind w:left="927" w:hanging="360"/>
      </w:pPr>
      <w:rPr>
        <w:rFonts w:ascii="Times New Roman" w:eastAsia="Times New Roman" w:hAnsi="Times New Roman" w:cs="Times New Roman"/>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D3"/>
    <w:rsid w:val="000C48A0"/>
    <w:rsid w:val="000E2EC4"/>
    <w:rsid w:val="0013487E"/>
    <w:rsid w:val="00175E5D"/>
    <w:rsid w:val="00182875"/>
    <w:rsid w:val="001A16AA"/>
    <w:rsid w:val="001B51D3"/>
    <w:rsid w:val="0021480C"/>
    <w:rsid w:val="00250D3E"/>
    <w:rsid w:val="002D3F65"/>
    <w:rsid w:val="002F6B0A"/>
    <w:rsid w:val="00381788"/>
    <w:rsid w:val="003F5090"/>
    <w:rsid w:val="004442F4"/>
    <w:rsid w:val="004565E1"/>
    <w:rsid w:val="00487D61"/>
    <w:rsid w:val="004C425C"/>
    <w:rsid w:val="005008B7"/>
    <w:rsid w:val="00515873"/>
    <w:rsid w:val="00581E5D"/>
    <w:rsid w:val="005904D4"/>
    <w:rsid w:val="005C0398"/>
    <w:rsid w:val="005C25AE"/>
    <w:rsid w:val="006230CA"/>
    <w:rsid w:val="00634374"/>
    <w:rsid w:val="006458C6"/>
    <w:rsid w:val="00653556"/>
    <w:rsid w:val="0068002D"/>
    <w:rsid w:val="006B16E4"/>
    <w:rsid w:val="006C04F3"/>
    <w:rsid w:val="00727731"/>
    <w:rsid w:val="00757350"/>
    <w:rsid w:val="007A428D"/>
    <w:rsid w:val="007E36CF"/>
    <w:rsid w:val="00806FBA"/>
    <w:rsid w:val="00833F7D"/>
    <w:rsid w:val="008A60CF"/>
    <w:rsid w:val="00917BC2"/>
    <w:rsid w:val="0097509B"/>
    <w:rsid w:val="009A192E"/>
    <w:rsid w:val="009C259C"/>
    <w:rsid w:val="009C7B91"/>
    <w:rsid w:val="00A04A38"/>
    <w:rsid w:val="00A24AE9"/>
    <w:rsid w:val="00A804B6"/>
    <w:rsid w:val="00AA1E55"/>
    <w:rsid w:val="00AA77C8"/>
    <w:rsid w:val="00AE5B4A"/>
    <w:rsid w:val="00AF4630"/>
    <w:rsid w:val="00B013C4"/>
    <w:rsid w:val="00B445C8"/>
    <w:rsid w:val="00B87157"/>
    <w:rsid w:val="00BB3008"/>
    <w:rsid w:val="00BD0BB2"/>
    <w:rsid w:val="00BF6D38"/>
    <w:rsid w:val="00C74E8A"/>
    <w:rsid w:val="00CB4FAC"/>
    <w:rsid w:val="00CD11FF"/>
    <w:rsid w:val="00CF48D4"/>
    <w:rsid w:val="00D27929"/>
    <w:rsid w:val="00D628D6"/>
    <w:rsid w:val="00D91F5F"/>
    <w:rsid w:val="00DF0B60"/>
    <w:rsid w:val="00E154C4"/>
    <w:rsid w:val="00E53449"/>
    <w:rsid w:val="00E56FAF"/>
    <w:rsid w:val="00E61BA1"/>
    <w:rsid w:val="00E7694A"/>
    <w:rsid w:val="00EB76AC"/>
    <w:rsid w:val="00EC5859"/>
    <w:rsid w:val="00ED5B4B"/>
    <w:rsid w:val="00F73B3E"/>
    <w:rsid w:val="00F82190"/>
    <w:rsid w:val="00FA3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C4"/>
    <w:pPr>
      <w:spacing w:after="0" w:line="240" w:lineRule="auto"/>
    </w:pPr>
    <w:rPr>
      <w:rFonts w:ascii="Times New Roman" w:eastAsia="Times New Roman" w:hAnsi="Times New Roman" w:cs="Times New Roman"/>
      <w:sz w:val="24"/>
      <w:szCs w:val="24"/>
      <w:lang w:eastAsia="ru-RU"/>
    </w:rPr>
  </w:style>
  <w:style w:type="paragraph" w:styleId="Titlu1">
    <w:name w:val="heading 1"/>
    <w:basedOn w:val="Normal"/>
    <w:next w:val="Normal"/>
    <w:link w:val="Titlu1Caracter"/>
    <w:uiPriority w:val="9"/>
    <w:qFormat/>
    <w:rsid w:val="00381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1B51D3"/>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9C7B91"/>
    <w:pPr>
      <w:ind w:left="720"/>
      <w:contextualSpacing/>
    </w:pPr>
  </w:style>
  <w:style w:type="character" w:customStyle="1" w:styleId="Titlu1Caracter">
    <w:name w:val="Titlu 1 Caracter"/>
    <w:basedOn w:val="Fontdeparagrafimplicit"/>
    <w:link w:val="Titlu1"/>
    <w:uiPriority w:val="9"/>
    <w:rsid w:val="00381788"/>
    <w:rPr>
      <w:rFonts w:asciiTheme="majorHAnsi" w:eastAsiaTheme="majorEastAsia" w:hAnsiTheme="majorHAnsi" w:cstheme="majorBidi"/>
      <w:b/>
      <w:bCs/>
      <w:color w:val="365F91" w:themeColor="accent1" w:themeShade="BF"/>
      <w:sz w:val="28"/>
      <w:szCs w:val="28"/>
      <w:lang w:eastAsia="ru-RU"/>
    </w:rPr>
  </w:style>
  <w:style w:type="character" w:styleId="Hyperlink">
    <w:name w:val="Hyperlink"/>
    <w:basedOn w:val="Fontdeparagrafimplicit"/>
    <w:uiPriority w:val="99"/>
    <w:unhideWhenUsed/>
    <w:rsid w:val="004C4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C4"/>
    <w:pPr>
      <w:spacing w:after="0" w:line="240" w:lineRule="auto"/>
    </w:pPr>
    <w:rPr>
      <w:rFonts w:ascii="Times New Roman" w:eastAsia="Times New Roman" w:hAnsi="Times New Roman" w:cs="Times New Roman"/>
      <w:sz w:val="24"/>
      <w:szCs w:val="24"/>
      <w:lang w:eastAsia="ru-RU"/>
    </w:rPr>
  </w:style>
  <w:style w:type="paragraph" w:styleId="Titlu1">
    <w:name w:val="heading 1"/>
    <w:basedOn w:val="Normal"/>
    <w:next w:val="Normal"/>
    <w:link w:val="Titlu1Caracter"/>
    <w:uiPriority w:val="9"/>
    <w:qFormat/>
    <w:rsid w:val="00381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1B51D3"/>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9C7B91"/>
    <w:pPr>
      <w:ind w:left="720"/>
      <w:contextualSpacing/>
    </w:pPr>
  </w:style>
  <w:style w:type="character" w:customStyle="1" w:styleId="Titlu1Caracter">
    <w:name w:val="Titlu 1 Caracter"/>
    <w:basedOn w:val="Fontdeparagrafimplicit"/>
    <w:link w:val="Titlu1"/>
    <w:uiPriority w:val="9"/>
    <w:rsid w:val="00381788"/>
    <w:rPr>
      <w:rFonts w:asciiTheme="majorHAnsi" w:eastAsiaTheme="majorEastAsia" w:hAnsiTheme="majorHAnsi" w:cstheme="majorBidi"/>
      <w:b/>
      <w:bCs/>
      <w:color w:val="365F91" w:themeColor="accent1" w:themeShade="BF"/>
      <w:sz w:val="28"/>
      <w:szCs w:val="28"/>
      <w:lang w:eastAsia="ru-RU"/>
    </w:rPr>
  </w:style>
  <w:style w:type="character" w:styleId="Hyperlink">
    <w:name w:val="Hyperlink"/>
    <w:basedOn w:val="Fontdeparagrafimplicit"/>
    <w:uiPriority w:val="99"/>
    <w:unhideWhenUsed/>
    <w:rsid w:val="004C4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2912</Characters>
  <Application>Microsoft Office Word</Application>
  <DocSecurity>0</DocSecurity>
  <Lines>24</Lines>
  <Paragraphs>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Vitiuc</dc:creator>
  <cp:lastModifiedBy>Procopciuc Alina</cp:lastModifiedBy>
  <cp:revision>2</cp:revision>
  <cp:lastPrinted>2022-06-20T14:09:00Z</cp:lastPrinted>
  <dcterms:created xsi:type="dcterms:W3CDTF">2022-06-22T13:57:00Z</dcterms:created>
  <dcterms:modified xsi:type="dcterms:W3CDTF">2022-06-22T13:57:00Z</dcterms:modified>
</cp:coreProperties>
</file>