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8" w:rsidRPr="00375AC2" w:rsidRDefault="00542097" w:rsidP="00AC2A96">
      <w:pPr>
        <w:pStyle w:val="ListParagraph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o-MO" w:eastAsia="ro-RO" w:bidi="ro-RO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>Nivelul de pregătire a</w:t>
      </w:r>
      <w:r w:rsidR="00CA7098"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 instituţiilor de educaţie timpurie către noul an de studii 2018-2019</w:t>
      </w:r>
    </w:p>
    <w:p w:rsidR="00CA7098" w:rsidRPr="00375AC2" w:rsidRDefault="00CA7098" w:rsidP="00AC2A96">
      <w:pPr>
        <w:pStyle w:val="ListParagraph"/>
        <w:spacing w:after="0" w:line="240" w:lineRule="auto"/>
        <w:ind w:left="1260" w:right="311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o-MO"/>
        </w:rPr>
      </w:pPr>
    </w:p>
    <w:p w:rsidR="00CA7098" w:rsidRPr="00375AC2" w:rsidRDefault="00CA7098" w:rsidP="00AC0B20">
      <w:pPr>
        <w:pStyle w:val="NoSpacing"/>
        <w:ind w:firstLine="708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 xml:space="preserve">Sistemul de educaţie timpurie din municipiul Chişinău include 159 instituţii </w:t>
      </w:r>
      <w:r w:rsidRPr="00375AC2">
        <w:rPr>
          <w:rFonts w:ascii="Times New Roman" w:hAnsi="Times New Roman"/>
          <w:color w:val="000000"/>
          <w:sz w:val="32"/>
          <w:szCs w:val="32"/>
          <w:lang w:val="ro-MO"/>
        </w:rPr>
        <w:t>de învățământ preșcolar cu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un contingent de 37942</w:t>
      </w:r>
      <w:r w:rsidRPr="00375AC2">
        <w:rPr>
          <w:rFonts w:ascii="Times New Roman" w:hAnsi="Times New Roman"/>
          <w:color w:val="000000"/>
          <w:sz w:val="32"/>
          <w:szCs w:val="32"/>
          <w:lang w:val="ro-MO"/>
        </w:rPr>
        <w:t xml:space="preserve"> și </w:t>
      </w:r>
      <w:r w:rsidRPr="00375AC2">
        <w:rPr>
          <w:rFonts w:ascii="Times New Roman" w:hAnsi="Times New Roman"/>
          <w:sz w:val="32"/>
          <w:szCs w:val="32"/>
          <w:lang w:val="ro-MO"/>
        </w:rPr>
        <w:t>cu 1432 grupe.</w:t>
      </w:r>
    </w:p>
    <w:p w:rsidR="00CA7098" w:rsidRPr="00375AC2" w:rsidRDefault="00542097" w:rsidP="00AC0B20">
      <w:pPr>
        <w:pStyle w:val="NoSpacing"/>
        <w:ind w:firstLine="708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>C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onform structur</w:t>
      </w:r>
      <w:r w:rsidRPr="00375AC2">
        <w:rPr>
          <w:rFonts w:ascii="Times New Roman" w:hAnsi="Times New Roman"/>
          <w:sz w:val="32"/>
          <w:szCs w:val="32"/>
          <w:lang w:val="ro-MO"/>
        </w:rPr>
        <w:t>ii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 xml:space="preserve"> de clasificare, </w:t>
      </w:r>
      <w:r w:rsidR="00CA7098" w:rsidRPr="00375AC2">
        <w:rPr>
          <w:rFonts w:ascii="Times New Roman" w:hAnsi="Times New Roman"/>
          <w:b/>
          <w:sz w:val="32"/>
          <w:szCs w:val="32"/>
          <w:lang w:val="ro-MO"/>
        </w:rPr>
        <w:t>au statut de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:</w:t>
      </w:r>
    </w:p>
    <w:p w:rsidR="00CA7098" w:rsidRPr="00375AC2" w:rsidRDefault="00542097" w:rsidP="00AC0B20">
      <w:pPr>
        <w:pStyle w:val="NoSpacing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>G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rădiniţă-creşă - 139 instituții;</w:t>
      </w:r>
    </w:p>
    <w:p w:rsidR="00CA7098" w:rsidRPr="00375AC2" w:rsidRDefault="00542097" w:rsidP="00AC0B20">
      <w:pPr>
        <w:pStyle w:val="NoSpacing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>G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rădiniță -  9 instituții;</w:t>
      </w:r>
    </w:p>
    <w:p w:rsidR="00CA7098" w:rsidRPr="00375AC2" w:rsidRDefault="00CA7098" w:rsidP="00AC0B20">
      <w:pPr>
        <w:pStyle w:val="NoSpacing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>Complex educaţional şcoală primară-grădiniţă - 10 (zece) instituții (nr.88, 90, 120, 124, 226, 152, 199, ”Ilie Fulga”,  „Antonin Ursu” CPPC „Orfeu”);</w:t>
      </w:r>
    </w:p>
    <w:p w:rsidR="00CA7098" w:rsidRPr="00375AC2" w:rsidRDefault="00CA7098" w:rsidP="00AC0B20">
      <w:pPr>
        <w:pStyle w:val="NoSpacing"/>
        <w:jc w:val="both"/>
        <w:rPr>
          <w:rFonts w:ascii="Times New Roman" w:hAnsi="Times New Roman"/>
          <w:sz w:val="32"/>
          <w:szCs w:val="32"/>
          <w:u w:val="single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 xml:space="preserve">Complex educaţional gimnaziu-grădiniță - 1   (comuna </w:t>
      </w:r>
      <w:r w:rsidR="009C6D66">
        <w:rPr>
          <w:rFonts w:ascii="Times New Roman" w:hAnsi="Times New Roman"/>
          <w:sz w:val="32"/>
          <w:szCs w:val="32"/>
          <w:lang w:val="ro-MO"/>
        </w:rPr>
        <w:t>C</w:t>
      </w:r>
      <w:r w:rsidRPr="00375AC2">
        <w:rPr>
          <w:rFonts w:ascii="Times New Roman" w:hAnsi="Times New Roman"/>
          <w:sz w:val="32"/>
          <w:szCs w:val="32"/>
          <w:lang w:val="ro-MO"/>
        </w:rPr>
        <w:t>ruzeşti).</w:t>
      </w:r>
    </w:p>
    <w:p w:rsidR="00CA7098" w:rsidRPr="00375AC2" w:rsidRDefault="00542097" w:rsidP="00AC0B20">
      <w:pPr>
        <w:pStyle w:val="NoSpacing"/>
        <w:ind w:firstLine="720"/>
        <w:jc w:val="both"/>
        <w:rPr>
          <w:rFonts w:ascii="Times New Roman" w:hAnsi="Times New Roman"/>
          <w:b/>
          <w:sz w:val="32"/>
          <w:szCs w:val="32"/>
          <w:lang w:val="ro-MO"/>
        </w:rPr>
      </w:pPr>
      <w:r w:rsidRPr="00375AC2">
        <w:rPr>
          <w:rFonts w:ascii="Times New Roman" w:hAnsi="Times New Roman"/>
          <w:b/>
          <w:sz w:val="32"/>
          <w:szCs w:val="32"/>
          <w:lang w:val="ro-MO"/>
        </w:rPr>
        <w:t>Conform locaţiei</w:t>
      </w:r>
      <w:r w:rsidR="00CA7098" w:rsidRPr="00375AC2">
        <w:rPr>
          <w:rFonts w:ascii="Times New Roman" w:hAnsi="Times New Roman"/>
          <w:b/>
          <w:sz w:val="32"/>
          <w:szCs w:val="32"/>
          <w:lang w:val="ro-MO"/>
        </w:rPr>
        <w:t xml:space="preserve">: </w:t>
      </w:r>
    </w:p>
    <w:p w:rsidR="00542097" w:rsidRPr="00375AC2" w:rsidRDefault="00CA7098" w:rsidP="00AC0B20">
      <w:pPr>
        <w:pStyle w:val="NoSpacing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>oraş - 131 instituţii</w:t>
      </w:r>
    </w:p>
    <w:p w:rsidR="00CA7098" w:rsidRPr="00375AC2" w:rsidRDefault="00CA7098" w:rsidP="00AC0B20">
      <w:pPr>
        <w:pStyle w:val="NoSpacing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>suburbii - 28 instituţii (finanţate de Autorităţile administraţiei publice locale de nivelul întâi, conform Codului Educaţie nr. 152 din 17.07.2014).</w:t>
      </w:r>
    </w:p>
    <w:p w:rsidR="00CA7098" w:rsidRPr="00375AC2" w:rsidRDefault="00CA7098" w:rsidP="00AC0B20">
      <w:pPr>
        <w:pStyle w:val="NoSpacing"/>
        <w:ind w:firstLine="708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b/>
          <w:sz w:val="32"/>
          <w:szCs w:val="32"/>
          <w:u w:val="single"/>
          <w:lang w:val="ro-MO"/>
        </w:rPr>
        <w:t xml:space="preserve">Începând cu  02.06.2018, </w:t>
      </w:r>
      <w:r w:rsidRPr="00375AC2">
        <w:rPr>
          <w:rFonts w:ascii="Times New Roman" w:hAnsi="Times New Roman"/>
          <w:sz w:val="32"/>
          <w:szCs w:val="32"/>
          <w:u w:val="single"/>
          <w:lang w:val="ro-MO"/>
        </w:rPr>
        <w:t>d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in numărul total de 159 </w:t>
      </w:r>
      <w:r w:rsidR="006E54D5" w:rsidRPr="00375AC2">
        <w:rPr>
          <w:rFonts w:ascii="Times New Roman" w:hAnsi="Times New Roman"/>
          <w:sz w:val="32"/>
          <w:szCs w:val="32"/>
          <w:lang w:val="ro-MO"/>
        </w:rPr>
        <w:t>instituţii de educaţie timpurie (</w:t>
      </w:r>
      <w:r w:rsidRPr="00375AC2">
        <w:rPr>
          <w:rFonts w:ascii="Times New Roman" w:hAnsi="Times New Roman"/>
          <w:sz w:val="32"/>
          <w:szCs w:val="32"/>
          <w:lang w:val="ro-MO"/>
        </w:rPr>
        <w:t>IET</w:t>
      </w:r>
      <w:r w:rsidR="006E54D5" w:rsidRPr="00375AC2">
        <w:rPr>
          <w:rFonts w:ascii="Times New Roman" w:hAnsi="Times New Roman"/>
          <w:sz w:val="32"/>
          <w:szCs w:val="32"/>
          <w:lang w:val="ro-MO"/>
        </w:rPr>
        <w:t>)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</w:t>
      </w:r>
      <w:r w:rsidR="00542097" w:rsidRPr="00375AC2">
        <w:rPr>
          <w:rFonts w:ascii="Times New Roman" w:hAnsi="Times New Roman"/>
          <w:sz w:val="32"/>
          <w:szCs w:val="32"/>
          <w:lang w:val="ro-MO"/>
        </w:rPr>
        <w:t xml:space="preserve">în 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perioada </w:t>
      </w:r>
      <w:r w:rsidR="00542097" w:rsidRPr="00375AC2">
        <w:rPr>
          <w:rFonts w:ascii="Times New Roman" w:hAnsi="Times New Roman"/>
          <w:sz w:val="32"/>
          <w:szCs w:val="32"/>
          <w:lang w:val="ro-MO"/>
        </w:rPr>
        <w:t xml:space="preserve">estivală, </w:t>
      </w:r>
      <w:r w:rsidR="00B60927" w:rsidRPr="00375AC2">
        <w:rPr>
          <w:rFonts w:ascii="Times New Roman" w:hAnsi="Times New Roman"/>
          <w:sz w:val="32"/>
          <w:szCs w:val="32"/>
          <w:lang w:val="ro-MO"/>
        </w:rPr>
        <w:t xml:space="preserve">temporar, </w:t>
      </w:r>
      <w:r w:rsidRPr="00375AC2">
        <w:rPr>
          <w:rFonts w:ascii="Times New Roman" w:hAnsi="Times New Roman"/>
          <w:sz w:val="32"/>
          <w:szCs w:val="32"/>
          <w:lang w:val="ro-MO"/>
        </w:rPr>
        <w:t>a</w:t>
      </w:r>
      <w:r w:rsidR="00542097" w:rsidRPr="00375AC2">
        <w:rPr>
          <w:rFonts w:ascii="Times New Roman" w:hAnsi="Times New Roman"/>
          <w:sz w:val="32"/>
          <w:szCs w:val="32"/>
          <w:lang w:val="ro-MO"/>
        </w:rPr>
        <w:t xml:space="preserve"> fost 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suspenda</w:t>
      </w:r>
      <w:r w:rsidR="00B60927" w:rsidRPr="00375AC2">
        <w:rPr>
          <w:rFonts w:ascii="Times New Roman" w:hAnsi="Times New Roman"/>
          <w:sz w:val="32"/>
          <w:szCs w:val="32"/>
          <w:lang w:val="ro-MO"/>
        </w:rPr>
        <w:t>tă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activit</w:t>
      </w:r>
      <w:r w:rsidR="00B60927" w:rsidRPr="00375AC2">
        <w:rPr>
          <w:rFonts w:ascii="Times New Roman" w:hAnsi="Times New Roman"/>
          <w:sz w:val="32"/>
          <w:szCs w:val="32"/>
          <w:lang w:val="ro-MO"/>
        </w:rPr>
        <w:t>atea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a 99  instituții de educație timpurie: </w:t>
      </w:r>
    </w:p>
    <w:p w:rsidR="00CA7098" w:rsidRPr="00375AC2" w:rsidRDefault="00CA7098" w:rsidP="00AC0B20">
      <w:pPr>
        <w:pStyle w:val="NoSpacing"/>
        <w:ind w:left="720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 xml:space="preserve">iunie - 29 </w:t>
      </w:r>
      <w:r w:rsidR="006E54D5" w:rsidRPr="00375AC2">
        <w:rPr>
          <w:rFonts w:ascii="Times New Roman" w:hAnsi="Times New Roman"/>
          <w:sz w:val="32"/>
          <w:szCs w:val="32"/>
          <w:lang w:val="ro-MO"/>
        </w:rPr>
        <w:t>entităţi</w:t>
      </w:r>
      <w:r w:rsidRPr="00375AC2">
        <w:rPr>
          <w:rFonts w:ascii="Times New Roman" w:hAnsi="Times New Roman"/>
          <w:sz w:val="32"/>
          <w:szCs w:val="32"/>
          <w:lang w:val="ro-MO"/>
        </w:rPr>
        <w:t>;</w:t>
      </w:r>
    </w:p>
    <w:p w:rsidR="00CA7098" w:rsidRPr="00375AC2" w:rsidRDefault="00CA7098" w:rsidP="00AC0B20">
      <w:pPr>
        <w:pStyle w:val="NoSpacing"/>
        <w:ind w:left="720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 xml:space="preserve">iulie - 63 </w:t>
      </w:r>
      <w:r w:rsidR="006E54D5" w:rsidRPr="00375AC2">
        <w:rPr>
          <w:rFonts w:ascii="Times New Roman" w:hAnsi="Times New Roman"/>
          <w:sz w:val="32"/>
          <w:szCs w:val="32"/>
          <w:lang w:val="ro-MO"/>
        </w:rPr>
        <w:t>entităţi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; </w:t>
      </w:r>
      <w:bookmarkStart w:id="0" w:name="_GoBack"/>
      <w:bookmarkEnd w:id="0"/>
    </w:p>
    <w:p w:rsidR="00CA7098" w:rsidRPr="00375AC2" w:rsidRDefault="00CA7098" w:rsidP="00AC0B20">
      <w:pPr>
        <w:pStyle w:val="NoSpacing"/>
        <w:ind w:left="720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sz w:val="32"/>
          <w:szCs w:val="32"/>
          <w:lang w:val="ro-MO"/>
        </w:rPr>
        <w:t xml:space="preserve">august - 7 </w:t>
      </w:r>
      <w:r w:rsidR="006E54D5" w:rsidRPr="00375AC2">
        <w:rPr>
          <w:rFonts w:ascii="Times New Roman" w:hAnsi="Times New Roman"/>
          <w:sz w:val="32"/>
          <w:szCs w:val="32"/>
          <w:lang w:val="ro-MO"/>
        </w:rPr>
        <w:t>entităţi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. </w:t>
      </w:r>
    </w:p>
    <w:p w:rsidR="00CA7098" w:rsidRPr="00375AC2" w:rsidRDefault="00B60927" w:rsidP="00AC0B20">
      <w:pPr>
        <w:pStyle w:val="NoSpacing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b/>
          <w:sz w:val="32"/>
          <w:szCs w:val="32"/>
          <w:lang w:val="ro-MO"/>
        </w:rPr>
        <w:t>A</w:t>
      </w:r>
      <w:r w:rsidR="00CA7098" w:rsidRPr="00375AC2">
        <w:rPr>
          <w:rFonts w:ascii="Times New Roman" w:hAnsi="Times New Roman"/>
          <w:b/>
          <w:sz w:val="32"/>
          <w:szCs w:val="32"/>
          <w:lang w:val="ro-MO"/>
        </w:rPr>
        <w:t>rgument</w:t>
      </w:r>
      <w:r w:rsidRPr="00375AC2">
        <w:rPr>
          <w:rFonts w:ascii="Times New Roman" w:hAnsi="Times New Roman"/>
          <w:b/>
          <w:sz w:val="32"/>
          <w:szCs w:val="32"/>
          <w:lang w:val="ro-MO"/>
        </w:rPr>
        <w:t>e</w:t>
      </w:r>
      <w:r w:rsidR="00CA7098" w:rsidRPr="00375AC2">
        <w:rPr>
          <w:rFonts w:ascii="Times New Roman" w:hAnsi="Times New Roman"/>
          <w:b/>
          <w:sz w:val="32"/>
          <w:szCs w:val="32"/>
          <w:lang w:val="ro-MO"/>
        </w:rPr>
        <w:t>: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/>
          <w:sz w:val="32"/>
          <w:szCs w:val="32"/>
          <w:lang w:val="ro-MO"/>
        </w:rPr>
        <w:t>necesitatea efectuării lucrărilor de r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eparație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a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blocurilor alimentare (sălile de preparare a bucatelor, sistemul de ventilare/hota la depozit) 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sistemul ingineresc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(reţeaua de apeduct şi canalizare, 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grupuri sanitare</w:t>
      </w:r>
      <w:r w:rsidRPr="00375AC2">
        <w:rPr>
          <w:rFonts w:ascii="Times New Roman" w:hAnsi="Times New Roman"/>
          <w:sz w:val="32"/>
          <w:szCs w:val="32"/>
          <w:lang w:val="ro-MO"/>
        </w:rPr>
        <w:t>)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 xml:space="preserve"> etc.(conform Anexei nr.4, alocație suplimentară la buget, prin </w:t>
      </w:r>
      <w:r w:rsidR="00351C59" w:rsidRPr="00375AC2">
        <w:rPr>
          <w:rFonts w:ascii="Times New Roman" w:hAnsi="Times New Roman"/>
          <w:sz w:val="32"/>
          <w:szCs w:val="32"/>
          <w:lang w:val="ro-MO"/>
        </w:rPr>
        <w:t>d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ecizia CMC</w:t>
      </w:r>
      <w:r w:rsidR="00351C59" w:rsidRPr="00375AC2">
        <w:rPr>
          <w:rFonts w:ascii="Times New Roman" w:eastAsia="Times New Roman" w:hAnsi="Times New Roman"/>
          <w:bCs/>
          <w:sz w:val="32"/>
          <w:szCs w:val="32"/>
          <w:lang w:val="ro-MO" w:eastAsia="ru-RU"/>
        </w:rPr>
        <w:t xml:space="preserve"> nr. 15/1 din 22.12 2017</w:t>
      </w:r>
      <w:r w:rsidR="00CA7098" w:rsidRPr="00375AC2">
        <w:rPr>
          <w:rFonts w:ascii="Times New Roman" w:hAnsi="Times New Roman"/>
          <w:sz w:val="32"/>
          <w:szCs w:val="32"/>
          <w:lang w:val="ro-MO"/>
        </w:rPr>
        <w:t>)</w:t>
      </w:r>
      <w:r w:rsidR="0038420F" w:rsidRPr="00375AC2">
        <w:rPr>
          <w:rFonts w:ascii="Times New Roman" w:hAnsi="Times New Roman"/>
          <w:sz w:val="32"/>
          <w:szCs w:val="32"/>
          <w:lang w:val="ro-MO"/>
        </w:rPr>
        <w:t>.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</w:t>
      </w:r>
    </w:p>
    <w:p w:rsidR="0038420F" w:rsidRPr="00375AC2" w:rsidRDefault="0038420F" w:rsidP="00AC0B20">
      <w:pPr>
        <w:pStyle w:val="NoSpacing"/>
        <w:jc w:val="both"/>
        <w:rPr>
          <w:rFonts w:ascii="Times New Roman" w:hAnsi="Times New Roman"/>
          <w:b/>
          <w:sz w:val="32"/>
          <w:szCs w:val="32"/>
          <w:lang w:val="ro-MO"/>
        </w:rPr>
      </w:pPr>
      <w:r w:rsidRPr="00375AC2">
        <w:rPr>
          <w:rFonts w:ascii="Times New Roman" w:hAnsi="Times New Roman"/>
          <w:b/>
          <w:sz w:val="32"/>
          <w:szCs w:val="32"/>
          <w:lang w:val="ro-MO"/>
        </w:rPr>
        <w:t>Categorii de reparaţii: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Reparație FISM – 8 instituții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Reparație capitală a blocului alimentar – 28 instituții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Reparație capitală la spălătorie – 9 instituții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Reparaţii curente –  în cele 159  instituții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Lipsa resurselor umane: 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lastRenderedPageBreak/>
        <w:t>Reparaţia faţadei, geamurile – 10 instituții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Reparația capitală a grupurilor sanitare – 20 instituții</w:t>
      </w:r>
    </w:p>
    <w:p w:rsidR="001612A9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Reparația capitală a depozitelor – 18 instituții</w:t>
      </w:r>
    </w:p>
    <w:p w:rsidR="00CA7098" w:rsidRPr="00375AC2" w:rsidRDefault="00CA7098" w:rsidP="00AC0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Repararea sistemei de ventilare la blocul alimentar – 13 instituții </w:t>
      </w:r>
    </w:p>
    <w:p w:rsidR="00CA7098" w:rsidRPr="00375AC2" w:rsidRDefault="001612A9" w:rsidP="00AC0B2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10. </w:t>
      </w:r>
      <w:r w:rsidR="00CA7098" w:rsidRPr="00375AC2">
        <w:rPr>
          <w:rFonts w:ascii="Times New Roman" w:hAnsi="Times New Roman" w:cs="Times New Roman"/>
          <w:sz w:val="32"/>
          <w:szCs w:val="32"/>
          <w:lang w:val="ro-MO"/>
        </w:rPr>
        <w:t>Reparația capitală a dormitoarelor – 4 grupe</w:t>
      </w:r>
    </w:p>
    <w:p w:rsidR="00CA7098" w:rsidRPr="00375AC2" w:rsidRDefault="00CA7098" w:rsidP="00AC0B20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Reparația capitală a sistemei de canalizare, încălzire – 23 instituții</w:t>
      </w:r>
    </w:p>
    <w:p w:rsidR="00CA7098" w:rsidRPr="00375AC2" w:rsidRDefault="00CA7098" w:rsidP="00AC0B20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Reparația acoperișului – 1 instituții</w:t>
      </w:r>
    </w:p>
    <w:p w:rsidR="00CA7098" w:rsidRPr="00375AC2" w:rsidRDefault="00CA7098" w:rsidP="00AC0B20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Reparația și vopsirea inventarului de joc pe terenuri – în cele 159 instituții</w:t>
      </w:r>
    </w:p>
    <w:p w:rsidR="00CA7098" w:rsidRPr="00375AC2" w:rsidRDefault="00CA7098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CA7098" w:rsidRPr="00375AC2" w:rsidRDefault="00CA7098" w:rsidP="00AC0B20">
      <w:pPr>
        <w:pStyle w:val="NoSpacing"/>
        <w:jc w:val="both"/>
        <w:rPr>
          <w:rFonts w:ascii="Times New Roman" w:hAnsi="Times New Roman"/>
          <w:sz w:val="32"/>
          <w:szCs w:val="32"/>
          <w:lang w:val="ro-MO"/>
        </w:rPr>
      </w:pPr>
      <w:r w:rsidRPr="00375AC2">
        <w:rPr>
          <w:rFonts w:ascii="Times New Roman" w:hAnsi="Times New Roman"/>
          <w:b/>
          <w:sz w:val="32"/>
          <w:szCs w:val="32"/>
          <w:lang w:val="ro-MO"/>
        </w:rPr>
        <w:t xml:space="preserve">   </w:t>
      </w:r>
      <w:r w:rsidR="0038420F" w:rsidRPr="00375AC2">
        <w:rPr>
          <w:rFonts w:ascii="Times New Roman" w:hAnsi="Times New Roman"/>
          <w:b/>
          <w:sz w:val="32"/>
          <w:szCs w:val="32"/>
          <w:lang w:val="ro-MO"/>
        </w:rPr>
        <w:tab/>
      </w:r>
      <w:r w:rsidR="00351C59" w:rsidRPr="00375AC2">
        <w:rPr>
          <w:rFonts w:ascii="Times New Roman" w:hAnsi="Times New Roman"/>
          <w:b/>
          <w:sz w:val="32"/>
          <w:szCs w:val="32"/>
          <w:lang w:val="ro-MO"/>
        </w:rPr>
        <w:t>L</w:t>
      </w:r>
      <w:r w:rsidRPr="00375AC2">
        <w:rPr>
          <w:rFonts w:ascii="Times New Roman" w:hAnsi="Times New Roman"/>
          <w:b/>
          <w:sz w:val="32"/>
          <w:szCs w:val="32"/>
          <w:lang w:val="ro-MO"/>
        </w:rPr>
        <w:t>a data de 16.07.2017</w:t>
      </w:r>
      <w:r w:rsidR="00351C59" w:rsidRPr="00375AC2">
        <w:rPr>
          <w:rFonts w:ascii="Times New Roman" w:hAnsi="Times New Roman"/>
          <w:sz w:val="32"/>
          <w:szCs w:val="32"/>
          <w:lang w:val="ro-MO"/>
        </w:rPr>
        <w:t>,</w:t>
      </w:r>
      <w:r w:rsidRPr="00375AC2">
        <w:rPr>
          <w:rFonts w:ascii="Times New Roman" w:hAnsi="Times New Roman"/>
          <w:sz w:val="32"/>
          <w:szCs w:val="32"/>
          <w:lang w:val="ro-MO"/>
        </w:rPr>
        <w:t xml:space="preserve"> </w:t>
      </w:r>
      <w:r w:rsidR="00351C59" w:rsidRPr="00375AC2">
        <w:rPr>
          <w:rFonts w:ascii="Times New Roman" w:hAnsi="Times New Roman"/>
          <w:sz w:val="32"/>
          <w:szCs w:val="32"/>
          <w:lang w:val="ro-MO"/>
        </w:rPr>
        <w:t xml:space="preserve">din cele 99 IET </w:t>
      </w:r>
      <w:r w:rsidRPr="00375AC2">
        <w:rPr>
          <w:rFonts w:ascii="Times New Roman" w:hAnsi="Times New Roman"/>
          <w:sz w:val="32"/>
          <w:szCs w:val="32"/>
          <w:lang w:val="ro-MO"/>
        </w:rPr>
        <w:t>și-au reluat activitatea 15</w:t>
      </w:r>
      <w:r w:rsidR="00351C59" w:rsidRPr="00375AC2">
        <w:rPr>
          <w:rFonts w:ascii="Times New Roman" w:hAnsi="Times New Roman"/>
          <w:sz w:val="32"/>
          <w:szCs w:val="32"/>
          <w:lang w:val="ro-MO"/>
        </w:rPr>
        <w:t xml:space="preserve">, respectiv, în regim obişnuit, activează </w:t>
      </w:r>
      <w:r w:rsidRPr="00375AC2">
        <w:rPr>
          <w:rFonts w:ascii="Times New Roman" w:hAnsi="Times New Roman"/>
          <w:sz w:val="32"/>
          <w:szCs w:val="32"/>
          <w:lang w:val="ro-MO"/>
        </w:rPr>
        <w:t>75 instituții de educație timpurie (</w:t>
      </w:r>
      <w:r w:rsidR="00351C59" w:rsidRPr="00375AC2">
        <w:rPr>
          <w:rFonts w:ascii="Times New Roman" w:hAnsi="Times New Roman"/>
          <w:sz w:val="32"/>
          <w:szCs w:val="32"/>
          <w:lang w:val="ro-MO"/>
        </w:rPr>
        <w:t xml:space="preserve">ceea ce constituie </w:t>
      </w:r>
      <w:r w:rsidRPr="00375AC2">
        <w:rPr>
          <w:rFonts w:ascii="Times New Roman" w:hAnsi="Times New Roman"/>
          <w:sz w:val="32"/>
          <w:szCs w:val="32"/>
          <w:lang w:val="ro-MO"/>
        </w:rPr>
        <w:t>47%)</w:t>
      </w:r>
      <w:r w:rsidR="00351C59" w:rsidRPr="00375AC2">
        <w:rPr>
          <w:rFonts w:ascii="Times New Roman" w:hAnsi="Times New Roman"/>
          <w:sz w:val="32"/>
          <w:szCs w:val="32"/>
          <w:lang w:val="ro-MO"/>
        </w:rPr>
        <w:t>.</w:t>
      </w:r>
    </w:p>
    <w:p w:rsidR="00CA7098" w:rsidRPr="00375AC2" w:rsidRDefault="00CA7098" w:rsidP="00AC0B20">
      <w:pPr>
        <w:pStyle w:val="NoSpacing"/>
        <w:jc w:val="both"/>
        <w:rPr>
          <w:rFonts w:ascii="Times New Roman" w:eastAsia="SimSun" w:hAnsi="Times New Roman"/>
          <w:sz w:val="32"/>
          <w:szCs w:val="32"/>
          <w:lang w:val="ro-MO" w:eastAsia="ar-SA"/>
        </w:rPr>
      </w:pPr>
      <w:r w:rsidRPr="00375AC2">
        <w:rPr>
          <w:rFonts w:ascii="Times New Roman" w:hAnsi="Times New Roman"/>
          <w:b/>
          <w:sz w:val="32"/>
          <w:szCs w:val="32"/>
          <w:lang w:val="ro-MO"/>
        </w:rPr>
        <w:t xml:space="preserve"> </w:t>
      </w:r>
    </w:p>
    <w:p w:rsidR="00CA7098" w:rsidRPr="00375AC2" w:rsidRDefault="00CA7098" w:rsidP="00AC0B20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  <w:tab/>
        <w:t xml:space="preserve">        </w:t>
      </w:r>
      <w:r w:rsidR="00883528" w:rsidRPr="00375AC2"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  <w:t xml:space="preserve">  </w:t>
      </w:r>
      <w:r w:rsidRPr="00375AC2"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  <w:t>Alocaţii financiare</w:t>
      </w:r>
      <w:r w:rsidRPr="00375AC2">
        <w:rPr>
          <w:rFonts w:ascii="Times New Roman" w:hAnsi="Times New Roman" w:cs="Times New Roman"/>
          <w:bCs/>
          <w:color w:val="000000"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 w:cs="Times New Roman"/>
          <w:b/>
          <w:bCs/>
          <w:color w:val="000000"/>
          <w:sz w:val="32"/>
          <w:szCs w:val="32"/>
          <w:lang w:val="ro-MO"/>
        </w:rPr>
        <w:t>pentru p</w:t>
      </w: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regătirea instituţiilor de educaţie timpurie către noul an de studii 2018-2019 </w:t>
      </w:r>
    </w:p>
    <w:p w:rsidR="00F54B91" w:rsidRPr="00375AC2" w:rsidRDefault="00F54B91" w:rsidP="00AC0B20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o-MO" w:eastAsia="ro-RO" w:bidi="ro-RO"/>
        </w:rPr>
      </w:pPr>
    </w:p>
    <w:p w:rsidR="00CA7098" w:rsidRPr="00375AC2" w:rsidRDefault="00351C59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>I.</w:t>
      </w:r>
      <w:r w:rsidRPr="00375A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  <w:t xml:space="preserve"> Reparaţii capitale a instituțiilor preșcolare - conform Foii de </w:t>
      </w:r>
      <w:r w:rsidR="00F54B91" w:rsidRPr="00375A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  <w:t>t</w:t>
      </w:r>
      <w:r w:rsidRPr="00375A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  <w:t>itlu (anexa nr.30 la decizia CMC nr. 15/1 din 22.12 2017)</w:t>
      </w:r>
    </w:p>
    <w:p w:rsidR="00F54B91" w:rsidRPr="00375AC2" w:rsidRDefault="00F54B91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Pentru 68 IET în</w:t>
      </w: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anul 2018 </w:t>
      </w: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au fost planificaţi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18.492,2 mii lei: </w:t>
      </w:r>
    </w:p>
    <w:p w:rsidR="00351C59" w:rsidRPr="00375AC2" w:rsidRDefault="0008252C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Reparații generale – 15.112,0 mii lei</w:t>
      </w: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Reparația acoperișurilor – 1.000,0 mii lei.</w:t>
      </w: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La moment:</w:t>
      </w: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îndeplinite – 13; </w:t>
      </w: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în proces de lucru – 37;</w:t>
      </w: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în procedură de achiziţii – 11;</w:t>
      </w: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concurs repetat/contestări – 7.</w:t>
      </w:r>
    </w:p>
    <w:p w:rsidR="00351C59" w:rsidRPr="00375AC2" w:rsidRDefault="00A7337D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Nivelul realizării – 44,56 %</w:t>
      </w:r>
    </w:p>
    <w:p w:rsidR="00351C59" w:rsidRPr="00375AC2" w:rsidRDefault="00351C59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C45BE6" w:rsidRPr="00375AC2" w:rsidRDefault="00CA7098" w:rsidP="00AC0B20">
      <w:pPr>
        <w:spacing w:after="0" w:line="240" w:lineRule="auto"/>
        <w:ind w:right="311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lastRenderedPageBreak/>
        <w:t>II. Mijloace financiare cu destinaţie specială</w:t>
      </w:r>
      <w:r w:rsidR="007F58D8"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 xml:space="preserve"> (</w:t>
      </w:r>
      <w:r w:rsidR="007F58D8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d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ispoziți</w:t>
      </w:r>
      <w:r w:rsidR="007F58D8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a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nr. 412 din 30.05.2018 </w:t>
      </w:r>
      <w:r w:rsidR="00C45BE6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„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Cu privire la distribuirea alocațiilor prevăzute în bugetul municipal Chișinău, aprobat pe anul 2018, pentru instituțiile de învățământ municipale” </w:t>
      </w:r>
      <w:r w:rsidR="00C45BE6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pentru IET 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au fost </w:t>
      </w:r>
      <w:r w:rsidR="00C45BE6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repartizată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="00C45BE6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suma de 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="00C45BE6"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>25,0</w:t>
      </w:r>
      <w:r w:rsidR="00C45BE6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proofErr w:type="spellStart"/>
      <w:r w:rsidR="00C45BE6"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>mln</w:t>
      </w:r>
      <w:proofErr w:type="spellEnd"/>
      <w:r w:rsidR="00C45BE6"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 xml:space="preserve"> lei</w:t>
      </w:r>
      <w:r w:rsidR="00C45BE6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destinate lucrărilor de reparație a blocurilor alimentare, blocurilor sanitare și pavilioanelor de joacă pentru copii:</w:t>
      </w:r>
    </w:p>
    <w:p w:rsidR="00AC2A96" w:rsidRPr="00375AC2" w:rsidRDefault="00AC2A96" w:rsidP="00AC0B20">
      <w:pPr>
        <w:spacing w:after="0" w:line="240" w:lineRule="auto"/>
        <w:ind w:right="311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Pentru 108 IET în</w:t>
      </w: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anul 2018 </w:t>
      </w: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au fost alocaţi 25,0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proofErr w:type="spellStart"/>
      <w:r w:rsidRPr="00375AC2">
        <w:rPr>
          <w:rFonts w:ascii="Times New Roman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lei: 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reparația blocurilor alimentare – 9600,0 mii lei;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reparația blocurilor sanitare – 10630,0 mii lei;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reparația pavilioanelor de joacă – 4770,0 mii lei.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  <w:t>La moment: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îndeplinite – 2; 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în proces de lucru – 48;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în procedură de achiziţii – 49;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>în proces de elaborare a caietelor de sarcini – 9.</w:t>
      </w:r>
    </w:p>
    <w:p w:rsidR="00FF3473" w:rsidRPr="00375AC2" w:rsidRDefault="00FF3473" w:rsidP="00FF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Nivelul realizării – 36,48 %, </w:t>
      </w:r>
      <w:r w:rsidRPr="00375A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  <w:t>inclusiv pe sectoare:</w:t>
      </w:r>
    </w:p>
    <w:p w:rsidR="00FF3473" w:rsidRPr="00375AC2" w:rsidRDefault="00FF3473" w:rsidP="00AC0B20">
      <w:pPr>
        <w:spacing w:after="0" w:line="240" w:lineRule="auto"/>
        <w:ind w:right="311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CA7098" w:rsidRPr="00375AC2" w:rsidRDefault="00CA7098" w:rsidP="00AC0B20">
      <w:pPr>
        <w:spacing w:after="0" w:line="240" w:lineRule="auto"/>
        <w:ind w:right="311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>DETS Botanica</w:t>
      </w:r>
      <w:r w:rsidR="00F54B91"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 xml:space="preserve"> 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- 31 instituții în suma de 6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800,0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blocurilor alimentare  în 31 instituții în suma de 5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350,0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- reparația blocurilor sanitare în 2 instituții în suma de 250,0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pavilioanelor de joacă în 5 instituții în suma de 1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200,0 mii lei,</w:t>
      </w:r>
    </w:p>
    <w:p w:rsidR="00CA7098" w:rsidRPr="00375AC2" w:rsidRDefault="00CA7098" w:rsidP="00AC0B20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>DETS Buiucani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– 23 instituții în suma de 4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500,0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- reparația blocurilor alimentare  în 2 instituții în suma de 1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420,0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blocurilor sanitare în 16 instituții în suma de 2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60,0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pavilioanelor de joacă în 9 instituții în suma de 1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20,0 mii lei,</w:t>
      </w:r>
    </w:p>
    <w:p w:rsidR="00CA7098" w:rsidRPr="00375AC2" w:rsidRDefault="00CA7098" w:rsidP="00AC0B20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>DETS Centru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 – 18 instituții în suma de 4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400,0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- reparația blocurilor alimentare  în 2 instituții în suma de 330,0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blocurilor sanitare în 16 instituții în suma de 3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="00C45BE6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="00AA2767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1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70,0 mii lei,</w:t>
      </w:r>
    </w:p>
    <w:p w:rsidR="00CA7098" w:rsidRPr="00375AC2" w:rsidRDefault="00CA7098" w:rsidP="00F54B91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- reparația pavilioanelor de joacă în 4 instituții în suma de 800,0 mii lei,</w:t>
      </w:r>
    </w:p>
    <w:p w:rsidR="00CA7098" w:rsidRPr="00375AC2" w:rsidRDefault="00CA7098" w:rsidP="00AC0B20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lastRenderedPageBreak/>
        <w:t xml:space="preserve"> </w:t>
      </w:r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 xml:space="preserve">DETS  </w:t>
      </w:r>
      <w:proofErr w:type="spellStart"/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>Ciocana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 – 9 instituții în suma de 3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300,0 mii lei,</w:t>
      </w:r>
    </w:p>
    <w:p w:rsidR="00CA7098" w:rsidRPr="00375AC2" w:rsidRDefault="00CA7098" w:rsidP="00F54B91">
      <w:pPr>
        <w:tabs>
          <w:tab w:val="left" w:pos="709"/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- reparația blocurilor alimentare  în 2 instituții în suma de 300,0 mii lei,</w:t>
      </w:r>
    </w:p>
    <w:p w:rsidR="00CA7098" w:rsidRPr="00375AC2" w:rsidRDefault="00CA7098" w:rsidP="00F54B91">
      <w:pPr>
        <w:tabs>
          <w:tab w:val="left" w:pos="709"/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blocurilor sanitare în 7 instituții în suma de 2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650,0 mii lei,</w:t>
      </w:r>
    </w:p>
    <w:p w:rsidR="00CA7098" w:rsidRPr="00375AC2" w:rsidRDefault="00CA7098" w:rsidP="00F54B91">
      <w:pPr>
        <w:tabs>
          <w:tab w:val="left" w:pos="709"/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pavilioanelor de joacă în o instituție în suma de 350,0 mii lei,                                        </w:t>
      </w:r>
    </w:p>
    <w:p w:rsidR="00CA7098" w:rsidRPr="00375AC2" w:rsidRDefault="00CA7098" w:rsidP="00AC0B20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>DETS  Râșcani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 – 27 instituții în suma de 6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 lei,</w:t>
      </w:r>
    </w:p>
    <w:p w:rsidR="00CA7098" w:rsidRPr="00375AC2" w:rsidRDefault="00CA7098" w:rsidP="00F54B91">
      <w:pPr>
        <w:tabs>
          <w:tab w:val="left" w:pos="567"/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blocurilor alimentare în 14 instituții în suma de  2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100,0 mii lei,</w:t>
      </w:r>
    </w:p>
    <w:p w:rsidR="00CA7098" w:rsidRPr="00375AC2" w:rsidRDefault="00CA7098" w:rsidP="00F54B91">
      <w:pPr>
        <w:tabs>
          <w:tab w:val="left" w:pos="567"/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blocurilor sanitare în 12 instituții în suma de 2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500,0 mii lei,</w:t>
      </w:r>
    </w:p>
    <w:p w:rsidR="00CA7098" w:rsidRPr="00375AC2" w:rsidRDefault="00CA7098" w:rsidP="00F54B91">
      <w:pPr>
        <w:tabs>
          <w:tab w:val="left" w:pos="567"/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- reparația pavilioanelor de joacă în 9 instituții în suma de 1 </w:t>
      </w:r>
      <w:proofErr w:type="spellStart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mln</w:t>
      </w:r>
      <w:proofErr w:type="spellEnd"/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400,0 mii lei.</w:t>
      </w:r>
    </w:p>
    <w:p w:rsidR="00AA2767" w:rsidRPr="00375AC2" w:rsidRDefault="00AA2767" w:rsidP="00F54B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</w:p>
    <w:p w:rsidR="000D4FF8" w:rsidRPr="00375AC2" w:rsidRDefault="000D4FF8" w:rsidP="00F54B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</w:p>
    <w:p w:rsidR="00883528" w:rsidRPr="00375AC2" w:rsidRDefault="00883528" w:rsidP="00AC0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</w:p>
    <w:p w:rsidR="000224D0" w:rsidRPr="00375AC2" w:rsidRDefault="00883528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III. </w:t>
      </w:r>
      <w:r w:rsidR="00A7337D" w:rsidRPr="00375AC2">
        <w:rPr>
          <w:rFonts w:ascii="Times New Roman" w:hAnsi="Times New Roman" w:cs="Times New Roman"/>
          <w:b/>
          <w:sz w:val="32"/>
          <w:szCs w:val="32"/>
          <w:lang w:val="ro-MO"/>
        </w:rPr>
        <w:t>Iluminarea teritoriilor IET</w:t>
      </w:r>
      <w:r w:rsidR="000224D0"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 </w:t>
      </w:r>
    </w:p>
    <w:p w:rsidR="00544D7A" w:rsidRPr="00375AC2" w:rsidRDefault="00544D7A" w:rsidP="00AC0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</w:pPr>
    </w:p>
    <w:p w:rsidR="00544D7A" w:rsidRPr="00375AC2" w:rsidRDefault="000224D0" w:rsidP="0038420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Una din problemele cu care se confruntă IET  este iluminarea teritoriilor. </w:t>
      </w:r>
      <w:r w:rsidR="00705372"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În anul 2018 în total au fost planificate lucrări de </w:t>
      </w:r>
    </w:p>
    <w:p w:rsidR="00705372" w:rsidRPr="00375AC2" w:rsidRDefault="00705372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iluminare exterioară a teritoriilor în 84 IET</w:t>
      </w:r>
    </w:p>
    <w:p w:rsidR="00705372" w:rsidRPr="00375AC2" w:rsidRDefault="00705372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544D7A" w:rsidRPr="00375AC2" w:rsidRDefault="00544D7A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A</w:t>
      </w:r>
      <w:r w:rsidR="000A628B" w:rsidRPr="00375AC2">
        <w:rPr>
          <w:rFonts w:ascii="Times New Roman" w:hAnsi="Times New Roman" w:cs="Times New Roman"/>
          <w:sz w:val="32"/>
          <w:szCs w:val="32"/>
          <w:lang w:val="ro-MO"/>
        </w:rPr>
        <w:t>u fost finalizate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lucrările de iluminare a teritoriilor IET </w:t>
      </w:r>
      <w:r w:rsidR="000A628B" w:rsidRPr="00375AC2">
        <w:rPr>
          <w:rFonts w:ascii="Times New Roman" w:hAnsi="Times New Roman" w:cs="Times New Roman"/>
          <w:sz w:val="32"/>
          <w:szCs w:val="32"/>
          <w:lang w:val="ro-MO"/>
        </w:rPr>
        <w:t>în 9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r w:rsidR="00445E21" w:rsidRPr="00375AC2">
        <w:rPr>
          <w:rFonts w:ascii="Times New Roman" w:hAnsi="Times New Roman" w:cs="Times New Roman"/>
          <w:sz w:val="32"/>
          <w:szCs w:val="32"/>
          <w:lang w:val="ro-MO"/>
        </w:rPr>
        <w:t>IET</w:t>
      </w:r>
      <w:r w:rsidR="000A628B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din sectoarele Botanica şi Buiucani</w:t>
      </w:r>
    </w:p>
    <w:p w:rsidR="000A628B" w:rsidRPr="00375AC2" w:rsidRDefault="000A628B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Botanica - 2 (IET nr.35, 151)</w:t>
      </w:r>
    </w:p>
    <w:p w:rsidR="000A628B" w:rsidRPr="00375AC2" w:rsidRDefault="000A628B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Buiucani - 7 (IET nr. 26, 110, 116, 183, 185, 186, 215)</w:t>
      </w:r>
    </w:p>
    <w:p w:rsidR="000A628B" w:rsidRPr="00375AC2" w:rsidRDefault="000A628B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090F37" w:rsidRPr="00375AC2" w:rsidRDefault="000A628B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Actualmente, lucrările de iluminare a teritori</w:t>
      </w:r>
      <w:r w:rsidR="00445E21" w:rsidRPr="00375AC2">
        <w:rPr>
          <w:rFonts w:ascii="Times New Roman" w:hAnsi="Times New Roman" w:cs="Times New Roman"/>
          <w:sz w:val="32"/>
          <w:szCs w:val="32"/>
          <w:lang w:val="ro-MO"/>
        </w:rPr>
        <w:t>ilor IET se desfăşoară 2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r w:rsidR="00445E21" w:rsidRPr="00375AC2">
        <w:rPr>
          <w:rFonts w:ascii="Times New Roman" w:hAnsi="Times New Roman" w:cs="Times New Roman"/>
          <w:sz w:val="32"/>
          <w:szCs w:val="32"/>
          <w:lang w:val="ro-MO"/>
        </w:rPr>
        <w:t>IET</w:t>
      </w:r>
      <w:r w:rsidR="00090F37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din sectoarele Centru şi </w:t>
      </w:r>
      <w:proofErr w:type="spellStart"/>
      <w:r w:rsidR="00090F37" w:rsidRPr="00375AC2">
        <w:rPr>
          <w:rFonts w:ascii="Times New Roman" w:hAnsi="Times New Roman" w:cs="Times New Roman"/>
          <w:sz w:val="32"/>
          <w:szCs w:val="32"/>
          <w:lang w:val="ro-MO"/>
        </w:rPr>
        <w:t>Ciocana</w:t>
      </w:r>
      <w:proofErr w:type="spellEnd"/>
    </w:p>
    <w:p w:rsidR="000A628B" w:rsidRPr="00375AC2" w:rsidRDefault="000A628B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0A628B" w:rsidRPr="00375AC2" w:rsidRDefault="000A628B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Centru – 1 (IET nr.55)</w:t>
      </w:r>
    </w:p>
    <w:p w:rsidR="000A628B" w:rsidRPr="00375AC2" w:rsidRDefault="000A628B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</w:t>
      </w:r>
      <w:proofErr w:type="spellStart"/>
      <w:r w:rsidRPr="00375AC2">
        <w:rPr>
          <w:rFonts w:ascii="Times New Roman" w:hAnsi="Times New Roman" w:cs="Times New Roman"/>
          <w:sz w:val="32"/>
          <w:szCs w:val="32"/>
          <w:lang w:val="ro-MO"/>
        </w:rPr>
        <w:t>Ciocana</w:t>
      </w:r>
      <w:proofErr w:type="spellEnd"/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- 1(IET nr.255)</w:t>
      </w:r>
    </w:p>
    <w:p w:rsidR="002D1F9F" w:rsidRPr="00375AC2" w:rsidRDefault="002D1F9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E76066" w:rsidRPr="00375AC2" w:rsidRDefault="00E76066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lastRenderedPageBreak/>
        <w:t xml:space="preserve">Conform alocaţiilor planificate şi în temeiul demersurilor, înaintate ÎM Reţelele electrice de iluminat </w:t>
      </w:r>
      <w:r w:rsidR="00B44306" w:rsidRPr="00375AC2">
        <w:rPr>
          <w:rFonts w:ascii="Times New Roman" w:hAnsi="Times New Roman" w:cs="Times New Roman"/>
          <w:sz w:val="32"/>
          <w:szCs w:val="32"/>
          <w:lang w:val="ro-MO"/>
        </w:rPr>
        <w:t>„LUMTEH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>”</w:t>
      </w: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>de către</w:t>
      </w: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 DETS din  sectoare,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în februarie</w:t>
      </w:r>
      <w:r w:rsidRPr="00375A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o-MO" w:eastAsia="ru-RU"/>
        </w:rPr>
        <w:t xml:space="preserve"> curent urmează a fi realizate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lucrări de reparaţie ale reţelelor de iluminare exterioară a teritoriilor în</w:t>
      </w:r>
      <w:r w:rsidR="00705372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73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IET</w:t>
      </w:r>
    </w:p>
    <w:p w:rsidR="00E76066" w:rsidRPr="00375AC2" w:rsidRDefault="00E76066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Botanica - </w:t>
      </w:r>
      <w:r w:rsidR="00340235" w:rsidRPr="00375AC2">
        <w:rPr>
          <w:rFonts w:ascii="Times New Roman" w:hAnsi="Times New Roman" w:cs="Times New Roman"/>
          <w:sz w:val="32"/>
          <w:szCs w:val="32"/>
          <w:lang w:val="ro-MO"/>
        </w:rPr>
        <w:t>2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2 </w:t>
      </w:r>
    </w:p>
    <w:p w:rsidR="00E76066" w:rsidRPr="00375AC2" w:rsidRDefault="00E76066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Buiucani - 13</w:t>
      </w:r>
    </w:p>
    <w:p w:rsidR="00340235" w:rsidRPr="00375AC2" w:rsidRDefault="00E76066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Centru – </w:t>
      </w:r>
      <w:r w:rsidR="00340235" w:rsidRPr="00375AC2">
        <w:rPr>
          <w:rFonts w:ascii="Times New Roman" w:hAnsi="Times New Roman" w:cs="Times New Roman"/>
          <w:sz w:val="32"/>
          <w:szCs w:val="32"/>
          <w:lang w:val="ro-MO"/>
        </w:rPr>
        <w:t>20</w:t>
      </w:r>
    </w:p>
    <w:p w:rsidR="00E76066" w:rsidRPr="00375AC2" w:rsidRDefault="00E76066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</w:t>
      </w:r>
      <w:proofErr w:type="spellStart"/>
      <w:r w:rsidRPr="00375AC2">
        <w:rPr>
          <w:rFonts w:ascii="Times New Roman" w:hAnsi="Times New Roman" w:cs="Times New Roman"/>
          <w:sz w:val="32"/>
          <w:szCs w:val="32"/>
          <w:lang w:val="ro-MO"/>
        </w:rPr>
        <w:t>Ciocana</w:t>
      </w:r>
      <w:proofErr w:type="spellEnd"/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- 1</w:t>
      </w:r>
      <w:r w:rsidR="00340235" w:rsidRPr="00375AC2">
        <w:rPr>
          <w:rFonts w:ascii="Times New Roman" w:hAnsi="Times New Roman" w:cs="Times New Roman"/>
          <w:sz w:val="32"/>
          <w:szCs w:val="32"/>
          <w:lang w:val="ro-MO"/>
        </w:rPr>
        <w:t>4</w:t>
      </w:r>
    </w:p>
    <w:p w:rsidR="00943F75" w:rsidRPr="00375AC2" w:rsidRDefault="00E76066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Râşcani </w:t>
      </w:r>
      <w:r w:rsidR="00340235" w:rsidRPr="00375AC2">
        <w:rPr>
          <w:rFonts w:ascii="Times New Roman" w:hAnsi="Times New Roman" w:cs="Times New Roman"/>
          <w:sz w:val="32"/>
          <w:szCs w:val="32"/>
          <w:lang w:val="ro-MO"/>
        </w:rPr>
        <w:t>– 4 IET</w:t>
      </w:r>
    </w:p>
    <w:p w:rsidR="00943F75" w:rsidRPr="00375AC2" w:rsidRDefault="00943F75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705372" w:rsidRPr="00375AC2" w:rsidRDefault="00943F75" w:rsidP="0038420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IV. </w:t>
      </w:r>
      <w:r w:rsidR="00705372"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Căile de acces în IET  </w:t>
      </w:r>
    </w:p>
    <w:p w:rsidR="00705372" w:rsidRPr="00375AC2" w:rsidRDefault="00705372" w:rsidP="0038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În scopul asigurării conforme a căilor de acces către IET care ar facilita deplasarea în siguranţă a copiilor spre instituţii, asigurarea  accesului serviciilor </w:t>
      </w:r>
      <w:r w:rsidR="00B10B0B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respective în situaţii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>de urgenţă</w:t>
      </w:r>
      <w:r w:rsidR="00B10B0B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(ambulanţa, servicii tehnice, pompieri, salvatori etc.), precum şi a transportului care deserveşte blocurile alimentare, în luna martie 2018  DETS din sectoare au înaintat demersuri către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>Direcţia generală transport Public şi Căi de Comunicaţie</w:t>
      </w: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cu rugămintea de a examina posibilitatea asfaltării unor porţiuni de teritoriu ale instituţiilor </w:t>
      </w:r>
      <w:r w:rsidR="00B10B0B" w:rsidRPr="00375AC2">
        <w:rPr>
          <w:rFonts w:ascii="Times New Roman" w:hAnsi="Times New Roman" w:cs="Times New Roman"/>
          <w:sz w:val="32"/>
          <w:szCs w:val="32"/>
          <w:lang w:val="ro-MO"/>
        </w:rPr>
        <w:t>de educaţie timpurie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: </w:t>
      </w:r>
    </w:p>
    <w:p w:rsidR="002C7745" w:rsidRPr="00375AC2" w:rsidRDefault="002C7745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7D521F" w:rsidRPr="00375AC2" w:rsidRDefault="007D521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Planificat – 51 IET</w:t>
      </w:r>
    </w:p>
    <w:p w:rsidR="007D521F" w:rsidRPr="00375AC2" w:rsidRDefault="007D521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Botanica - 28 </w:t>
      </w:r>
    </w:p>
    <w:p w:rsidR="007D521F" w:rsidRPr="00375AC2" w:rsidRDefault="007D521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Buiucani - 14</w:t>
      </w:r>
    </w:p>
    <w:p w:rsidR="007D521F" w:rsidRPr="00375AC2" w:rsidRDefault="007D521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Centru – 5</w:t>
      </w:r>
    </w:p>
    <w:p w:rsidR="007D521F" w:rsidRPr="00375AC2" w:rsidRDefault="007D521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</w:t>
      </w:r>
      <w:proofErr w:type="spellStart"/>
      <w:r w:rsidRPr="00375AC2">
        <w:rPr>
          <w:rFonts w:ascii="Times New Roman" w:hAnsi="Times New Roman" w:cs="Times New Roman"/>
          <w:sz w:val="32"/>
          <w:szCs w:val="32"/>
          <w:lang w:val="ro-MO"/>
        </w:rPr>
        <w:t>Ciocana</w:t>
      </w:r>
      <w:proofErr w:type="spellEnd"/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- 3</w:t>
      </w:r>
    </w:p>
    <w:p w:rsidR="007D521F" w:rsidRPr="00375AC2" w:rsidRDefault="007D521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Râşcani – 1 </w:t>
      </w:r>
    </w:p>
    <w:p w:rsidR="00705372" w:rsidRPr="00375AC2" w:rsidRDefault="00705372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7D521F" w:rsidRPr="00375AC2" w:rsidRDefault="007D521F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Pe segmentul </w:t>
      </w:r>
      <w:r w:rsidR="00B108EA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dat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>urmează a conlucra cu Direcţia generală finanţe şi Direcţia generală transport Public şi Căi de Comunicaţie în scopul identificării</w:t>
      </w:r>
      <w:r w:rsidR="00B108EA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resurselor financiare necesare pentru efectuarea lucrărilor ce se impun (porţiuni de drum, trotuare, instalarea semnelor de  circulație. </w:t>
      </w:r>
    </w:p>
    <w:p w:rsidR="00B108EA" w:rsidRPr="00375AC2" w:rsidRDefault="00B108EA" w:rsidP="003842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  <w:t xml:space="preserve">  Concluzi</w:t>
      </w:r>
      <w:r w:rsidR="00943F75" w:rsidRPr="00375AC2"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  <w:t>i</w:t>
      </w:r>
    </w:p>
    <w:p w:rsidR="00943F75" w:rsidRPr="00375AC2" w:rsidRDefault="00943F75" w:rsidP="003842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</w:pPr>
    </w:p>
    <w:p w:rsidR="00B108EA" w:rsidRPr="00375AC2" w:rsidRDefault="00943F75" w:rsidP="003842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lastRenderedPageBreak/>
        <w:tab/>
      </w:r>
      <w:r w:rsidR="00B108EA"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>În ultimii 10 ani, alocaţiile preconizate pentru dezvoltarea infrastructurii şi dezvoltarea bazei tehnico-materială a instituţiilor de învăţământ general constituie, în mediu 6,5% din suma totală destinată pentru întreținerea sistemului educaţional municipal.</w:t>
      </w:r>
    </w:p>
    <w:p w:rsidR="00B108EA" w:rsidRPr="00375AC2" w:rsidRDefault="00B108EA" w:rsidP="003842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>Graţie, conlucrării eficiente cu APL</w:t>
      </w:r>
      <w:r w:rsidR="009D72FE"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>,</w:t>
      </w:r>
      <w:r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 xml:space="preserve"> pe parcursul anului se </w:t>
      </w:r>
      <w:r w:rsidR="009D72FE"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>identifică resurse suplimentare, care ulterior sunt direcţionate  spre soluţionarea problemelor, cu titlu de excepţie: asigurarea rigorilor sanitaro-igienice, dotarea didactico materială, şi nu în ultimul rând în cazul unor situaţii de avariere şi calamităţi naturale.</w:t>
      </w:r>
    </w:p>
    <w:p w:rsidR="009D72FE" w:rsidRPr="00375AC2" w:rsidRDefault="009D72FE" w:rsidP="003842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ro-MO"/>
        </w:rPr>
      </w:pPr>
    </w:p>
    <w:p w:rsidR="009D72FE" w:rsidRPr="00375AC2" w:rsidRDefault="009D72FE" w:rsidP="003842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bCs/>
          <w:iCs/>
          <w:sz w:val="32"/>
          <w:szCs w:val="32"/>
          <w:lang w:val="ro-MO"/>
        </w:rPr>
        <w:t>Probleme:</w:t>
      </w:r>
    </w:p>
    <w:p w:rsidR="009D72FE" w:rsidRPr="00375AC2" w:rsidRDefault="009D72FE" w:rsidP="0038420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- </w:t>
      </w:r>
      <w:r w:rsidR="00CA7098" w:rsidRPr="00375AC2">
        <w:rPr>
          <w:rFonts w:ascii="Times New Roman" w:hAnsi="Times New Roman" w:cs="Times New Roman"/>
          <w:bCs/>
          <w:sz w:val="32"/>
          <w:szCs w:val="32"/>
          <w:lang w:val="ro-MO"/>
        </w:rPr>
        <w:t>deficitul resurselor financiare pentru întreţinere</w:t>
      </w: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a</w:t>
      </w:r>
      <w:r w:rsidR="00CA7098"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 şi dezvoltarea sistemului educaţional</w:t>
      </w: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;</w:t>
      </w:r>
    </w:p>
    <w:p w:rsidR="009D72FE" w:rsidRPr="00375AC2" w:rsidRDefault="009D72FE" w:rsidP="003842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- </w:t>
      </w:r>
      <w:r w:rsidR="00CA7098"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valorificarea insuficientă a potenţialului în elaborarea </w:t>
      </w: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şi aplicarea </w:t>
      </w:r>
      <w:r w:rsidR="00CA7098" w:rsidRPr="00375AC2">
        <w:rPr>
          <w:rFonts w:ascii="Times New Roman" w:hAnsi="Times New Roman" w:cs="Times New Roman"/>
          <w:bCs/>
          <w:sz w:val="32"/>
          <w:szCs w:val="32"/>
          <w:lang w:val="ro-MO"/>
        </w:rPr>
        <w:t>proiectelor</w:t>
      </w:r>
      <w:r w:rsidR="00CA7098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>sociale</w:t>
      </w:r>
    </w:p>
    <w:p w:rsidR="00CA7098" w:rsidRPr="00375AC2" w:rsidRDefault="009D72FE" w:rsidP="003842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- </w:t>
      </w:r>
      <w:r w:rsidR="00CA7098"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starea </w:t>
      </w:r>
      <w:r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>bazei tehnico-material</w:t>
      </w:r>
      <w:r w:rsidR="00C97A8D"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>e</w:t>
      </w:r>
      <w:r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 xml:space="preserve"> a instituţiilor de învăţământ general</w:t>
      </w:r>
      <w:r w:rsidR="00C97A8D"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 xml:space="preserve"> (utilaj tehnologic şi frigorific cu termen de uzură depăşit</w:t>
      </w:r>
    </w:p>
    <w:p w:rsidR="00CA7098" w:rsidRPr="00375AC2" w:rsidRDefault="00C97A8D" w:rsidP="003842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Cs/>
          <w:iCs/>
          <w:sz w:val="32"/>
          <w:szCs w:val="32"/>
          <w:lang w:val="ro-MO"/>
        </w:rPr>
        <w:t xml:space="preserve">- </w:t>
      </w:r>
      <w:r w:rsidR="00CA7098" w:rsidRPr="00375AC2">
        <w:rPr>
          <w:rFonts w:ascii="Times New Roman" w:hAnsi="Times New Roman" w:cs="Times New Roman"/>
          <w:bCs/>
          <w:sz w:val="32"/>
          <w:szCs w:val="32"/>
          <w:lang w:val="ro-MO"/>
        </w:rPr>
        <w:t>ineficiența</w:t>
      </w: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 abilităţilor </w:t>
      </w:r>
      <w:r w:rsidR="00CA7098"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 </w:t>
      </w: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de conlucrare şi comunicare cu structurile tangibile</w:t>
      </w:r>
    </w:p>
    <w:p w:rsidR="00C97A8D" w:rsidRPr="00375AC2" w:rsidRDefault="00C97A8D" w:rsidP="003842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- lipsa specialiştilor calificaţi responsabili de efectuarea şi monitorizarea lucrărilor de reparaţie a agenţilor economici câştigători ai concursurilor prin oferta de preţuri (cazul LT „</w:t>
      </w:r>
      <w:proofErr w:type="spellStart"/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M.Eminescu</w:t>
      </w:r>
      <w:proofErr w:type="spellEnd"/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”, IET nr.145 </w:t>
      </w:r>
      <w:proofErr w:type="spellStart"/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etc</w:t>
      </w:r>
      <w:proofErr w:type="spellEnd"/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)</w:t>
      </w:r>
    </w:p>
    <w:p w:rsidR="00C97A8D" w:rsidRPr="00375AC2" w:rsidRDefault="00C97A8D" w:rsidP="00384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ro-MO"/>
        </w:rPr>
      </w:pPr>
    </w:p>
    <w:p w:rsidR="00CA7098" w:rsidRPr="00375AC2" w:rsidRDefault="00C97A8D" w:rsidP="00384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bCs/>
          <w:sz w:val="32"/>
          <w:szCs w:val="32"/>
          <w:lang w:val="ro-MO"/>
        </w:rPr>
        <w:t>Soluţii</w:t>
      </w:r>
      <w:r w:rsidR="00754D6F" w:rsidRPr="00375AC2">
        <w:rPr>
          <w:rFonts w:ascii="Times New Roman" w:hAnsi="Times New Roman" w:cs="Times New Roman"/>
          <w:b/>
          <w:bCs/>
          <w:sz w:val="32"/>
          <w:szCs w:val="32"/>
          <w:lang w:val="ro-MO"/>
        </w:rPr>
        <w:t>:</w:t>
      </w:r>
    </w:p>
    <w:p w:rsidR="00C97A8D" w:rsidRPr="00375AC2" w:rsidRDefault="00C97A8D" w:rsidP="0038420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bCs/>
          <w:sz w:val="32"/>
          <w:szCs w:val="32"/>
          <w:lang w:val="ro-MO"/>
        </w:rPr>
        <w:t xml:space="preserve">- </w:t>
      </w: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majorarea alocaţiilor destinate pentru dezvoltarea infrastructurii; </w:t>
      </w:r>
    </w:p>
    <w:p w:rsidR="00C97A8D" w:rsidRPr="00375AC2" w:rsidRDefault="00C97A8D" w:rsidP="00384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- organizarea activităţilor de formare a specialiștilor din cadrul DETS din sectoare în elaborarea şi aplicarea proiectelor</w:t>
      </w:r>
      <w:r w:rsidR="00754D6F"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 şi perfecţionarea competenţelor comunicative</w:t>
      </w:r>
      <w:r w:rsidRPr="00375AC2">
        <w:rPr>
          <w:rFonts w:ascii="Times New Roman" w:hAnsi="Times New Roman" w:cs="Times New Roman"/>
          <w:bCs/>
          <w:sz w:val="32"/>
          <w:szCs w:val="32"/>
          <w:lang w:val="ro-MO"/>
        </w:rPr>
        <w:t>;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</w:p>
    <w:p w:rsidR="00C97A8D" w:rsidRPr="00375AC2" w:rsidRDefault="00C97A8D" w:rsidP="0038420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- responsabilizarea a</w:t>
      </w:r>
      <w:r w:rsidR="00754D6F" w:rsidRPr="00375AC2">
        <w:rPr>
          <w:rFonts w:ascii="Times New Roman" w:hAnsi="Times New Roman" w:cs="Times New Roman"/>
          <w:bCs/>
          <w:sz w:val="32"/>
          <w:szCs w:val="32"/>
          <w:lang w:val="ro-MO"/>
        </w:rPr>
        <w:t xml:space="preserve"> agenţilor economici la darea obiectelor în exploatare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</w:p>
    <w:p w:rsidR="00AC0B20" w:rsidRPr="00375AC2" w:rsidRDefault="00AC0B20" w:rsidP="003842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>Notă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: în pofida tuturor impedimentelor, obiective şi subiective,  DGECTS va asigura condiţii conforme de pregătire a instituțiilor educaţionale din subordine către noul an de studii 2018-2019, astfel începând cu 01.09.2018 toate cele 99 IET în care, temporar,  a fost sistată activitatea, vor funcţiona conform Programului aprobat . </w:t>
      </w:r>
    </w:p>
    <w:p w:rsidR="00AC0B20" w:rsidRPr="00375AC2" w:rsidRDefault="00AC0B20" w:rsidP="003842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În cazul în care unele categorii de lucrării nu vor fi finalizate la termenii stabiliţi, aceste nu vor periclita procesul educaţional.</w:t>
      </w:r>
    </w:p>
    <w:p w:rsidR="00AC0B20" w:rsidRPr="00375AC2" w:rsidRDefault="00AC0B20" w:rsidP="003842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</w:p>
    <w:p w:rsidR="00C569DE" w:rsidRPr="00375AC2" w:rsidRDefault="00C569DE" w:rsidP="00C5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lastRenderedPageBreak/>
        <w:t>I.</w:t>
      </w:r>
      <w:r w:rsidRPr="00375A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o-MO" w:eastAsia="ru-RU"/>
        </w:rPr>
        <w:t xml:space="preserve"> Reparaţii capitale a instituțiilor preșcolare - conform Foii de titlu (anexa nr.30 la decizia CMC nr. 15/1 din 22.12 2017)</w:t>
      </w:r>
    </w:p>
    <w:p w:rsidR="0008252C" w:rsidRPr="00375AC2" w:rsidRDefault="0008252C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tbl>
      <w:tblPr>
        <w:tblW w:w="15581" w:type="dxa"/>
        <w:tblLayout w:type="fixed"/>
        <w:tblLook w:val="04A0" w:firstRow="1" w:lastRow="0" w:firstColumn="1" w:lastColumn="0" w:noHBand="0" w:noVBand="1"/>
      </w:tblPr>
      <w:tblGrid>
        <w:gridCol w:w="745"/>
        <w:gridCol w:w="3390"/>
        <w:gridCol w:w="1604"/>
        <w:gridCol w:w="1566"/>
        <w:gridCol w:w="1875"/>
        <w:gridCol w:w="1676"/>
        <w:gridCol w:w="777"/>
        <w:gridCol w:w="992"/>
        <w:gridCol w:w="992"/>
        <w:gridCol w:w="884"/>
        <w:gridCol w:w="1080"/>
      </w:tblGrid>
      <w:tr w:rsidR="008E23FB" w:rsidRPr="00375AC2" w:rsidTr="00C569DE">
        <w:trPr>
          <w:trHeight w:val="15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Nr/r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Sectorul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Numărul total de IET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Planul pe anul 2018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mii lei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Reparație generală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Reparația acoperișurilor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Îndeplinit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În lucru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În procedură de achiziție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Concurs repetat/</w:t>
            </w:r>
          </w:p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contestări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% realizării</w:t>
            </w:r>
          </w:p>
        </w:tc>
      </w:tr>
      <w:tr w:rsidR="008E23FB" w:rsidRPr="00375AC2" w:rsidTr="00C569D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Botanica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20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MO" w:eastAsia="ru-RU"/>
              </w:rPr>
              <w:t>5.872,2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C5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4 </w:t>
            </w:r>
            <w:proofErr w:type="spellStart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mln</w:t>
            </w:r>
            <w:proofErr w:type="spellEnd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872,02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400,0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35%</w:t>
            </w:r>
          </w:p>
        </w:tc>
      </w:tr>
      <w:tr w:rsidR="008E23FB" w:rsidRPr="00375AC2" w:rsidTr="00C569D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Buiucani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MO" w:eastAsia="ru-RU"/>
              </w:rPr>
              <w:t>2. 280,0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2 </w:t>
            </w:r>
            <w:proofErr w:type="spellStart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mln</w:t>
            </w:r>
            <w:proofErr w:type="spellEnd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080,0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61,4%</w:t>
            </w:r>
          </w:p>
        </w:tc>
      </w:tr>
      <w:tr w:rsidR="008E23FB" w:rsidRPr="00375AC2" w:rsidTr="00C569D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</w:t>
            </w: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Centru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2 .380,0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2 </w:t>
            </w:r>
            <w:proofErr w:type="spellStart"/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mln</w:t>
            </w:r>
            <w:proofErr w:type="spellEnd"/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 380,0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54%</w:t>
            </w:r>
          </w:p>
        </w:tc>
      </w:tr>
      <w:tr w:rsidR="008E23FB" w:rsidRPr="00375AC2" w:rsidTr="00C569D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</w:t>
            </w:r>
            <w:proofErr w:type="spellStart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Ciocana</w:t>
            </w:r>
            <w:proofErr w:type="spellEnd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3. 680,0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2 </w:t>
            </w:r>
            <w:proofErr w:type="spellStart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mln</w:t>
            </w:r>
            <w:proofErr w:type="spellEnd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380,0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5/2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30%</w:t>
            </w:r>
          </w:p>
        </w:tc>
      </w:tr>
      <w:tr w:rsidR="008E23FB" w:rsidRPr="00375AC2" w:rsidTr="00C569D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Râşcani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4. 250,0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3 </w:t>
            </w:r>
            <w:proofErr w:type="spellStart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mln</w:t>
            </w:r>
            <w:proofErr w:type="spellEnd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42,4 %</w:t>
            </w:r>
          </w:p>
        </w:tc>
      </w:tr>
      <w:tr w:rsidR="008E23FB" w:rsidRPr="00375AC2" w:rsidTr="00C569D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Total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18. 492,2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15.112,0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1.000,0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44,56%</w:t>
            </w:r>
          </w:p>
        </w:tc>
      </w:tr>
    </w:tbl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</w:p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>Notă:</w:t>
      </w: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DETS sectorul </w:t>
      </w:r>
      <w:proofErr w:type="spellStart"/>
      <w:r w:rsidRPr="00375AC2">
        <w:rPr>
          <w:rFonts w:ascii="Times New Roman" w:hAnsi="Times New Roman" w:cs="Times New Roman"/>
          <w:sz w:val="32"/>
          <w:szCs w:val="32"/>
          <w:lang w:val="ro-MO"/>
        </w:rPr>
        <w:t>Ciocana</w:t>
      </w:r>
      <w:proofErr w:type="spellEnd"/>
    </w:p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IET nr. 67, 149 sunt în procedură de contestare</w:t>
      </w:r>
    </w:p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IET nr.32, 161, 177, 188, 212 va fi concurs repetat la data de 19.07.2018</w:t>
      </w:r>
    </w:p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402B94" w:rsidRPr="00375AC2" w:rsidRDefault="00402B94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7F7BBB" w:rsidRPr="00375AC2" w:rsidRDefault="007F7BBB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7F7BBB" w:rsidRPr="00375AC2" w:rsidRDefault="007F7BBB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7F7BBB" w:rsidRPr="00375AC2" w:rsidRDefault="007F7BBB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7F7BBB" w:rsidRPr="00375AC2" w:rsidRDefault="007F7BBB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7F7BBB" w:rsidRPr="00375AC2" w:rsidRDefault="007F7BBB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7F7BBB" w:rsidRPr="00375AC2" w:rsidRDefault="007F7BBB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ro-MO"/>
        </w:rPr>
      </w:pPr>
    </w:p>
    <w:p w:rsidR="008E23FB" w:rsidRPr="00375AC2" w:rsidRDefault="008E23FB" w:rsidP="00AC0B20">
      <w:pPr>
        <w:tabs>
          <w:tab w:val="left" w:pos="9923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32"/>
          <w:szCs w:val="32"/>
          <w:lang w:val="ro-MO"/>
        </w:rPr>
      </w:pPr>
      <w:r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lastRenderedPageBreak/>
        <w:t>II. Mijloace financiare cu destinaţie specială</w:t>
      </w:r>
      <w:r w:rsidR="00402B94" w:rsidRPr="00375AC2">
        <w:rPr>
          <w:rFonts w:ascii="Times New Roman" w:eastAsia="Calibri" w:hAnsi="Times New Roman" w:cs="Times New Roman"/>
          <w:b/>
          <w:sz w:val="32"/>
          <w:szCs w:val="32"/>
          <w:lang w:val="ro-MO"/>
        </w:rPr>
        <w:t xml:space="preserve"> (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dispoziți</w:t>
      </w:r>
      <w:r w:rsidR="00402B94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a Primarului general interimar</w:t>
      </w:r>
      <w:r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 xml:space="preserve"> nr. 412 –d din 30.05.2018 ”Cu privire la distribuirea alocațiilor prevăzute în bugetul municipal Chișinău, aprobat pe anul 2018, pentru instituțiile de învățământ municipale”</w:t>
      </w:r>
      <w:r w:rsidR="00402B94" w:rsidRPr="00375AC2">
        <w:rPr>
          <w:rFonts w:ascii="Times New Roman" w:eastAsia="Calibri" w:hAnsi="Times New Roman" w:cs="Times New Roman"/>
          <w:sz w:val="32"/>
          <w:szCs w:val="32"/>
          <w:lang w:val="ro-M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92"/>
        <w:gridCol w:w="1461"/>
        <w:gridCol w:w="1647"/>
        <w:gridCol w:w="1820"/>
        <w:gridCol w:w="1585"/>
        <w:gridCol w:w="2012"/>
        <w:gridCol w:w="650"/>
        <w:gridCol w:w="661"/>
        <w:gridCol w:w="1038"/>
        <w:gridCol w:w="1203"/>
      </w:tblGrid>
      <w:tr w:rsidR="008E23FB" w:rsidRPr="00375AC2" w:rsidTr="00542097">
        <w:trPr>
          <w:cantSplit/>
          <w:trHeight w:val="19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Nr. d/o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Sectorul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Numărul total de IET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Total alocații bugetare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Reparația blocurilor alimentare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Reparația blocurilor sanitare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Reparația pavilioanelor</w:t>
            </w:r>
          </w:p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de joacă</w:t>
            </w:r>
          </w:p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3FB" w:rsidRPr="00375AC2" w:rsidRDefault="008E23FB" w:rsidP="00AC0B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îndeplinit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3FB" w:rsidRPr="00375AC2" w:rsidRDefault="008E23FB" w:rsidP="00AC0B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în lucru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3FB" w:rsidRPr="00375AC2" w:rsidRDefault="008E23FB" w:rsidP="00AC0B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 xml:space="preserve">în procedură </w:t>
            </w:r>
          </w:p>
          <w:p w:rsidR="008E23FB" w:rsidRPr="00375AC2" w:rsidRDefault="008E23FB" w:rsidP="00AC0B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de achiziție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3FB" w:rsidRPr="00375AC2" w:rsidRDefault="008E23FB" w:rsidP="00AC0B2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% de realizare</w:t>
            </w:r>
          </w:p>
        </w:tc>
      </w:tr>
      <w:tr w:rsidR="008E23FB" w:rsidRPr="00375AC2" w:rsidTr="0054209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pStyle w:val="Listparagr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Botanica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6800,0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5350,0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250,0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1200,0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24,2</w:t>
            </w:r>
          </w:p>
        </w:tc>
      </w:tr>
      <w:tr w:rsidR="008E23FB" w:rsidRPr="00375AC2" w:rsidTr="0054209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pStyle w:val="Listparagr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Buiucani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</w:t>
            </w:r>
            <w:r w:rsidR="00C45BE6"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4500,0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1420,0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2060,0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1020,0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</w:t>
            </w:r>
            <w:r w:rsidR="00C45BE6"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24</w:t>
            </w:r>
          </w:p>
        </w:tc>
      </w:tr>
      <w:tr w:rsidR="008E23FB" w:rsidRPr="00375AC2" w:rsidTr="0054209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pStyle w:val="Listparagr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</w:t>
            </w: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Centru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4400,0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3.170,0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800,0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10,72</w:t>
            </w:r>
          </w:p>
        </w:tc>
      </w:tr>
      <w:tr w:rsidR="008E23FB" w:rsidRPr="009C6D66" w:rsidTr="0054209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pStyle w:val="Listparagr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Sectorul  </w:t>
            </w:r>
            <w:proofErr w:type="spellStart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Ciocana</w:t>
            </w:r>
            <w:proofErr w:type="spellEnd"/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3300,0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2650,0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350,0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În proces de elaborare a caietelor de sarcini</w:t>
            </w:r>
          </w:p>
        </w:tc>
      </w:tr>
      <w:tr w:rsidR="008E23FB" w:rsidRPr="00375AC2" w:rsidTr="0054209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pStyle w:val="Listparagr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Sectorul  Râşcani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6000,0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2500,0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1400,0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39</w:t>
            </w:r>
          </w:p>
        </w:tc>
      </w:tr>
      <w:tr w:rsidR="008E23FB" w:rsidRPr="00375AC2" w:rsidTr="0054209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pStyle w:val="Listparagraf1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8E23FB" w:rsidP="00AC0B20">
            <w:pPr>
              <w:pStyle w:val="Title"/>
              <w:jc w:val="both"/>
              <w:rPr>
                <w:sz w:val="32"/>
                <w:szCs w:val="32"/>
                <w:lang w:val="ro-MO"/>
              </w:rPr>
            </w:pPr>
            <w:r w:rsidRPr="00375AC2">
              <w:rPr>
                <w:b/>
                <w:sz w:val="32"/>
                <w:szCs w:val="32"/>
                <w:lang w:val="ro-MO"/>
              </w:rPr>
              <w:t>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pStyle w:val="Title"/>
              <w:jc w:val="both"/>
              <w:rPr>
                <w:sz w:val="32"/>
                <w:szCs w:val="32"/>
                <w:lang w:val="ro-MO"/>
              </w:rPr>
            </w:pPr>
            <w:r w:rsidRPr="00375AC2">
              <w:rPr>
                <w:sz w:val="32"/>
                <w:szCs w:val="32"/>
                <w:lang w:val="ro-MO"/>
              </w:rPr>
              <w:t>108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pStyle w:val="Title"/>
              <w:jc w:val="both"/>
              <w:rPr>
                <w:sz w:val="32"/>
                <w:szCs w:val="32"/>
                <w:lang w:val="ro-MO"/>
              </w:rPr>
            </w:pPr>
            <w:r w:rsidRPr="00375AC2">
              <w:rPr>
                <w:sz w:val="32"/>
                <w:szCs w:val="32"/>
                <w:lang w:val="ro-MO"/>
              </w:rPr>
              <w:t>25000,0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9600,0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10630,0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4770,0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FB" w:rsidRPr="00375AC2" w:rsidRDefault="00181A14" w:rsidP="00AC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36,48%</w:t>
            </w:r>
          </w:p>
        </w:tc>
      </w:tr>
    </w:tbl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6D288A" w:rsidRPr="00375AC2" w:rsidRDefault="006D288A" w:rsidP="006D28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>Iluminarea teritoriilor IET</w:t>
      </w:r>
    </w:p>
    <w:p w:rsidR="006D288A" w:rsidRPr="00375AC2" w:rsidRDefault="006D288A" w:rsidP="006D288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86"/>
        <w:gridCol w:w="2109"/>
        <w:gridCol w:w="1834"/>
        <w:gridCol w:w="1461"/>
        <w:gridCol w:w="1796"/>
        <w:gridCol w:w="6634"/>
      </w:tblGrid>
      <w:tr w:rsidR="006D288A" w:rsidRPr="00375AC2" w:rsidTr="002F6B49">
        <w:tc>
          <w:tcPr>
            <w:tcW w:w="993" w:type="dxa"/>
          </w:tcPr>
          <w:p w:rsidR="006D288A" w:rsidRPr="00375AC2" w:rsidRDefault="006D288A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Nr. d/o</w:t>
            </w:r>
          </w:p>
        </w:tc>
        <w:tc>
          <w:tcPr>
            <w:tcW w:w="2126" w:type="dxa"/>
          </w:tcPr>
          <w:p w:rsidR="006D288A" w:rsidRPr="00375AC2" w:rsidRDefault="006D288A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Sectorul</w:t>
            </w:r>
          </w:p>
        </w:tc>
        <w:tc>
          <w:tcPr>
            <w:tcW w:w="1843" w:type="dxa"/>
          </w:tcPr>
          <w:p w:rsidR="006D288A" w:rsidRPr="00375AC2" w:rsidRDefault="006D288A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MO" w:eastAsia="ru-RU"/>
              </w:rPr>
              <w:t>Numărul total de IET</w:t>
            </w:r>
          </w:p>
        </w:tc>
        <w:tc>
          <w:tcPr>
            <w:tcW w:w="1305" w:type="dxa"/>
          </w:tcPr>
          <w:p w:rsidR="006D288A" w:rsidRPr="00375AC2" w:rsidRDefault="006D288A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Îndeplinit</w:t>
            </w:r>
          </w:p>
        </w:tc>
        <w:tc>
          <w:tcPr>
            <w:tcW w:w="1813" w:type="dxa"/>
          </w:tcPr>
          <w:p w:rsidR="006D288A" w:rsidRPr="00375AC2" w:rsidRDefault="006D288A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În proces de lucru</w:t>
            </w:r>
          </w:p>
        </w:tc>
        <w:tc>
          <w:tcPr>
            <w:tcW w:w="6740" w:type="dxa"/>
          </w:tcPr>
          <w:p w:rsidR="006D288A" w:rsidRPr="00375AC2" w:rsidRDefault="006D288A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Notă</w:t>
            </w:r>
          </w:p>
        </w:tc>
      </w:tr>
      <w:tr w:rsidR="002F6B49" w:rsidRPr="009C6D66" w:rsidTr="002F6B49">
        <w:tc>
          <w:tcPr>
            <w:tcW w:w="993" w:type="dxa"/>
          </w:tcPr>
          <w:p w:rsidR="002F6B49" w:rsidRPr="00375AC2" w:rsidRDefault="00926496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1.</w:t>
            </w:r>
          </w:p>
        </w:tc>
        <w:tc>
          <w:tcPr>
            <w:tcW w:w="2126" w:type="dxa"/>
            <w:vAlign w:val="bottom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Botanica </w:t>
            </w:r>
          </w:p>
        </w:tc>
        <w:tc>
          <w:tcPr>
            <w:tcW w:w="1843" w:type="dxa"/>
            <w:vAlign w:val="bottom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24</w:t>
            </w:r>
          </w:p>
        </w:tc>
        <w:tc>
          <w:tcPr>
            <w:tcW w:w="1305" w:type="dxa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</w:t>
            </w:r>
          </w:p>
        </w:tc>
        <w:tc>
          <w:tcPr>
            <w:tcW w:w="1813" w:type="dxa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</w:p>
        </w:tc>
        <w:tc>
          <w:tcPr>
            <w:tcW w:w="6740" w:type="dxa"/>
            <w:vMerge w:val="restart"/>
          </w:tcPr>
          <w:p w:rsidR="002F6B49" w:rsidRPr="00375AC2" w:rsidRDefault="002F6B49" w:rsidP="002F6B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Conform alocaţiilor planificate şi în temeiul demersurilor, înaintate ÎM Reţelele electrice de iluminat </w:t>
            </w:r>
            <w:r w:rsidR="002C7745"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„LUMTEH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”</w:t>
            </w:r>
            <w:r w:rsidRPr="00375AC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MO" w:eastAsia="ru-RU"/>
              </w:rPr>
              <w:t xml:space="preserve"> 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de către</w:t>
            </w:r>
            <w:r w:rsidRPr="00375AC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MO" w:eastAsia="ru-RU"/>
              </w:rPr>
              <w:t xml:space="preserve"> DETS din  sectoare,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în februarie</w:t>
            </w:r>
            <w:r w:rsidRPr="00375AC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MO" w:eastAsia="ru-RU"/>
              </w:rPr>
              <w:t xml:space="preserve"> curent urmează a fi </w:t>
            </w:r>
            <w:r w:rsidRPr="00375AC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ro-MO" w:eastAsia="ru-RU"/>
              </w:rPr>
              <w:lastRenderedPageBreak/>
              <w:t>realizate</w:t>
            </w: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 xml:space="preserve"> lucrări de reparaţie ale reţelelor de iluminare exterioară a teritoriilor în 73 IET</w:t>
            </w:r>
          </w:p>
          <w:p w:rsidR="002F6B49" w:rsidRPr="00375AC2" w:rsidRDefault="002F6B49" w:rsidP="002F6B49">
            <w:pPr>
              <w:pStyle w:val="ListParagraph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</w:tr>
      <w:tr w:rsidR="002F6B49" w:rsidRPr="00375AC2" w:rsidTr="002F6B49">
        <w:tc>
          <w:tcPr>
            <w:tcW w:w="993" w:type="dxa"/>
          </w:tcPr>
          <w:p w:rsidR="002F6B49" w:rsidRPr="00375AC2" w:rsidRDefault="00926496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</w:t>
            </w:r>
            <w:r w:rsidR="006670DD"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.</w:t>
            </w:r>
          </w:p>
        </w:tc>
        <w:tc>
          <w:tcPr>
            <w:tcW w:w="2126" w:type="dxa"/>
            <w:vAlign w:val="bottom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 xml:space="preserve"> Buiucani</w:t>
            </w:r>
          </w:p>
        </w:tc>
        <w:tc>
          <w:tcPr>
            <w:tcW w:w="1843" w:type="dxa"/>
            <w:vAlign w:val="bottom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20</w:t>
            </w:r>
          </w:p>
        </w:tc>
        <w:tc>
          <w:tcPr>
            <w:tcW w:w="1305" w:type="dxa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7</w:t>
            </w:r>
          </w:p>
        </w:tc>
        <w:tc>
          <w:tcPr>
            <w:tcW w:w="181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6740" w:type="dxa"/>
            <w:vMerge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</w:tr>
      <w:tr w:rsidR="002F6B49" w:rsidRPr="00375AC2" w:rsidTr="002F6B49">
        <w:tc>
          <w:tcPr>
            <w:tcW w:w="993" w:type="dxa"/>
          </w:tcPr>
          <w:p w:rsidR="002F6B49" w:rsidRPr="00375AC2" w:rsidRDefault="00926496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3</w:t>
            </w:r>
            <w:r w:rsidR="006670DD"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.</w:t>
            </w:r>
          </w:p>
        </w:tc>
        <w:tc>
          <w:tcPr>
            <w:tcW w:w="2126" w:type="dxa"/>
          </w:tcPr>
          <w:p w:rsidR="002F6B49" w:rsidRPr="00375AC2" w:rsidRDefault="002F6B49" w:rsidP="006D2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MO" w:eastAsia="ru-RU"/>
              </w:rPr>
              <w:t>Centru</w:t>
            </w:r>
          </w:p>
        </w:tc>
        <w:tc>
          <w:tcPr>
            <w:tcW w:w="184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21</w:t>
            </w:r>
          </w:p>
        </w:tc>
        <w:tc>
          <w:tcPr>
            <w:tcW w:w="1305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-</w:t>
            </w:r>
          </w:p>
        </w:tc>
        <w:tc>
          <w:tcPr>
            <w:tcW w:w="181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</w:t>
            </w:r>
          </w:p>
        </w:tc>
        <w:tc>
          <w:tcPr>
            <w:tcW w:w="6740" w:type="dxa"/>
            <w:vMerge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</w:tr>
      <w:tr w:rsidR="002F6B49" w:rsidRPr="00375AC2" w:rsidTr="002F6B49">
        <w:tc>
          <w:tcPr>
            <w:tcW w:w="993" w:type="dxa"/>
          </w:tcPr>
          <w:p w:rsidR="002F6B49" w:rsidRPr="00375AC2" w:rsidRDefault="00926496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4.</w:t>
            </w:r>
          </w:p>
        </w:tc>
        <w:tc>
          <w:tcPr>
            <w:tcW w:w="2126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proofErr w:type="spellStart"/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Ciocana</w:t>
            </w:r>
            <w:proofErr w:type="spellEnd"/>
          </w:p>
        </w:tc>
        <w:tc>
          <w:tcPr>
            <w:tcW w:w="184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15</w:t>
            </w:r>
          </w:p>
        </w:tc>
        <w:tc>
          <w:tcPr>
            <w:tcW w:w="1305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-</w:t>
            </w:r>
          </w:p>
        </w:tc>
        <w:tc>
          <w:tcPr>
            <w:tcW w:w="181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</w:t>
            </w:r>
          </w:p>
        </w:tc>
        <w:tc>
          <w:tcPr>
            <w:tcW w:w="6740" w:type="dxa"/>
            <w:vMerge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</w:tr>
      <w:tr w:rsidR="002F6B49" w:rsidRPr="00375AC2" w:rsidTr="002F6B49">
        <w:tc>
          <w:tcPr>
            <w:tcW w:w="993" w:type="dxa"/>
          </w:tcPr>
          <w:p w:rsidR="002F6B49" w:rsidRPr="00375AC2" w:rsidRDefault="00926496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lastRenderedPageBreak/>
              <w:t>5.</w:t>
            </w:r>
          </w:p>
        </w:tc>
        <w:tc>
          <w:tcPr>
            <w:tcW w:w="2126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Râşcani</w:t>
            </w:r>
          </w:p>
        </w:tc>
        <w:tc>
          <w:tcPr>
            <w:tcW w:w="184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4</w:t>
            </w:r>
          </w:p>
        </w:tc>
        <w:tc>
          <w:tcPr>
            <w:tcW w:w="1305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  <w:t>.</w:t>
            </w:r>
          </w:p>
        </w:tc>
        <w:tc>
          <w:tcPr>
            <w:tcW w:w="181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6740" w:type="dxa"/>
            <w:vMerge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</w:tr>
      <w:tr w:rsidR="002F6B49" w:rsidRPr="00375AC2" w:rsidTr="002F6B49">
        <w:tc>
          <w:tcPr>
            <w:tcW w:w="993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  <w:tc>
          <w:tcPr>
            <w:tcW w:w="2126" w:type="dxa"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Total</w:t>
            </w:r>
          </w:p>
        </w:tc>
        <w:tc>
          <w:tcPr>
            <w:tcW w:w="1843" w:type="dxa"/>
          </w:tcPr>
          <w:p w:rsidR="002F6B49" w:rsidRPr="00375AC2" w:rsidRDefault="002F6B49" w:rsidP="00BF07F4">
            <w:pPr>
              <w:pStyle w:val="Title"/>
              <w:jc w:val="both"/>
              <w:rPr>
                <w:sz w:val="32"/>
                <w:szCs w:val="32"/>
                <w:lang w:val="ro-MO"/>
              </w:rPr>
            </w:pPr>
            <w:r w:rsidRPr="00375AC2">
              <w:rPr>
                <w:sz w:val="32"/>
                <w:szCs w:val="32"/>
                <w:lang w:val="ro-MO"/>
              </w:rPr>
              <w:t>84</w:t>
            </w:r>
          </w:p>
        </w:tc>
        <w:tc>
          <w:tcPr>
            <w:tcW w:w="1305" w:type="dxa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9</w:t>
            </w:r>
          </w:p>
        </w:tc>
        <w:tc>
          <w:tcPr>
            <w:tcW w:w="1813" w:type="dxa"/>
          </w:tcPr>
          <w:p w:rsidR="002F6B49" w:rsidRPr="00375AC2" w:rsidRDefault="002F6B49" w:rsidP="00BF0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375AC2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</w:t>
            </w:r>
          </w:p>
        </w:tc>
        <w:tc>
          <w:tcPr>
            <w:tcW w:w="6740" w:type="dxa"/>
            <w:vMerge/>
          </w:tcPr>
          <w:p w:rsidR="002F6B49" w:rsidRPr="00375AC2" w:rsidRDefault="002F6B49" w:rsidP="006D28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MO"/>
              </w:rPr>
            </w:pPr>
          </w:p>
        </w:tc>
      </w:tr>
    </w:tbl>
    <w:p w:rsidR="006D288A" w:rsidRPr="00375AC2" w:rsidRDefault="006D288A" w:rsidP="006D288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</w:p>
    <w:p w:rsidR="006D288A" w:rsidRPr="00375AC2" w:rsidRDefault="006D288A" w:rsidP="006D2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 xml:space="preserve">IV. Căile de acces în IET  </w:t>
      </w: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b/>
          <w:sz w:val="32"/>
          <w:szCs w:val="32"/>
          <w:lang w:val="ro-MO"/>
        </w:rPr>
        <w:t>Planificat – 51 IET</w:t>
      </w: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Botanica - 28 </w:t>
      </w: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Buiucani - 14</w:t>
      </w: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>Sectorul Centru – 5</w:t>
      </w: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</w:t>
      </w:r>
      <w:proofErr w:type="spellStart"/>
      <w:r w:rsidRPr="00375AC2">
        <w:rPr>
          <w:rFonts w:ascii="Times New Roman" w:hAnsi="Times New Roman" w:cs="Times New Roman"/>
          <w:sz w:val="32"/>
          <w:szCs w:val="32"/>
          <w:lang w:val="ro-MO"/>
        </w:rPr>
        <w:t>Ciocana</w:t>
      </w:r>
      <w:proofErr w:type="spellEnd"/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 - 3</w:t>
      </w:r>
    </w:p>
    <w:p w:rsidR="002C7745" w:rsidRPr="00375AC2" w:rsidRDefault="002C7745" w:rsidP="002C77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375AC2">
        <w:rPr>
          <w:rFonts w:ascii="Times New Roman" w:hAnsi="Times New Roman" w:cs="Times New Roman"/>
          <w:sz w:val="32"/>
          <w:szCs w:val="32"/>
          <w:lang w:val="ro-MO"/>
        </w:rPr>
        <w:t xml:space="preserve">Sectorul Râşcani – 1 </w:t>
      </w:r>
    </w:p>
    <w:p w:rsidR="008E23FB" w:rsidRPr="00375AC2" w:rsidRDefault="008E23FB" w:rsidP="00AC0B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MO"/>
        </w:rPr>
      </w:pPr>
    </w:p>
    <w:sectPr w:rsidR="008E23FB" w:rsidRPr="00375AC2" w:rsidSect="00375AC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2C"/>
    <w:multiLevelType w:val="hybridMultilevel"/>
    <w:tmpl w:val="AAC24598"/>
    <w:lvl w:ilvl="0" w:tplc="E16A6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B55"/>
    <w:multiLevelType w:val="hybridMultilevel"/>
    <w:tmpl w:val="B42CB44C"/>
    <w:lvl w:ilvl="0" w:tplc="3F064A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2416C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2667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52A8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CE4D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A4CA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0A2B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CBFA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9B4BC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DB4C54"/>
    <w:multiLevelType w:val="hybridMultilevel"/>
    <w:tmpl w:val="C52CA76E"/>
    <w:lvl w:ilvl="0" w:tplc="A8AE86A4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8C5277"/>
    <w:multiLevelType w:val="hybridMultilevel"/>
    <w:tmpl w:val="C164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F3F6D"/>
    <w:multiLevelType w:val="hybridMultilevel"/>
    <w:tmpl w:val="1E0CF4C8"/>
    <w:lvl w:ilvl="0" w:tplc="8D7E7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015C"/>
    <w:multiLevelType w:val="hybridMultilevel"/>
    <w:tmpl w:val="A2F8809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35B45"/>
    <w:multiLevelType w:val="hybridMultilevel"/>
    <w:tmpl w:val="739A65E2"/>
    <w:lvl w:ilvl="0" w:tplc="A01015A4">
      <w:start w:val="1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F21A9A"/>
    <w:multiLevelType w:val="hybridMultilevel"/>
    <w:tmpl w:val="83A014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000454"/>
    <w:multiLevelType w:val="hybridMultilevel"/>
    <w:tmpl w:val="89A4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48CC"/>
    <w:multiLevelType w:val="hybridMultilevel"/>
    <w:tmpl w:val="B9B4A31A"/>
    <w:lvl w:ilvl="0" w:tplc="489879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12E90"/>
    <w:multiLevelType w:val="hybridMultilevel"/>
    <w:tmpl w:val="53CA0350"/>
    <w:lvl w:ilvl="0" w:tplc="BB6C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B"/>
    <w:rsid w:val="000224D0"/>
    <w:rsid w:val="0008252C"/>
    <w:rsid w:val="00090F37"/>
    <w:rsid w:val="000A628B"/>
    <w:rsid w:val="000B1521"/>
    <w:rsid w:val="000D4FF8"/>
    <w:rsid w:val="001612A9"/>
    <w:rsid w:val="00181A14"/>
    <w:rsid w:val="001D0D2A"/>
    <w:rsid w:val="0028204F"/>
    <w:rsid w:val="002B12A4"/>
    <w:rsid w:val="002C7745"/>
    <w:rsid w:val="002D1F9F"/>
    <w:rsid w:val="002F6852"/>
    <w:rsid w:val="002F6B49"/>
    <w:rsid w:val="00340235"/>
    <w:rsid w:val="00351C59"/>
    <w:rsid w:val="00375AC2"/>
    <w:rsid w:val="0038420F"/>
    <w:rsid w:val="00387567"/>
    <w:rsid w:val="003A213C"/>
    <w:rsid w:val="003B4B89"/>
    <w:rsid w:val="003E65E0"/>
    <w:rsid w:val="00402B94"/>
    <w:rsid w:val="00412712"/>
    <w:rsid w:val="00445E21"/>
    <w:rsid w:val="00446996"/>
    <w:rsid w:val="00491A56"/>
    <w:rsid w:val="005040C3"/>
    <w:rsid w:val="00542097"/>
    <w:rsid w:val="00544D7A"/>
    <w:rsid w:val="005A11E3"/>
    <w:rsid w:val="005D42F4"/>
    <w:rsid w:val="006670DD"/>
    <w:rsid w:val="006B1F27"/>
    <w:rsid w:val="006D288A"/>
    <w:rsid w:val="006E54D5"/>
    <w:rsid w:val="00705372"/>
    <w:rsid w:val="00754D6F"/>
    <w:rsid w:val="007A5165"/>
    <w:rsid w:val="007D521F"/>
    <w:rsid w:val="007F58D8"/>
    <w:rsid w:val="007F7BBB"/>
    <w:rsid w:val="007F7E24"/>
    <w:rsid w:val="008354C9"/>
    <w:rsid w:val="00883528"/>
    <w:rsid w:val="00895668"/>
    <w:rsid w:val="008E23FB"/>
    <w:rsid w:val="008E3CB9"/>
    <w:rsid w:val="00926496"/>
    <w:rsid w:val="00940400"/>
    <w:rsid w:val="00943F75"/>
    <w:rsid w:val="009C6D66"/>
    <w:rsid w:val="009D72FE"/>
    <w:rsid w:val="00A13CE0"/>
    <w:rsid w:val="00A7337D"/>
    <w:rsid w:val="00A91FA8"/>
    <w:rsid w:val="00AA0BCA"/>
    <w:rsid w:val="00AA2767"/>
    <w:rsid w:val="00AC0B20"/>
    <w:rsid w:val="00AC2A96"/>
    <w:rsid w:val="00AD0838"/>
    <w:rsid w:val="00AF0EA4"/>
    <w:rsid w:val="00B108EA"/>
    <w:rsid w:val="00B10B0B"/>
    <w:rsid w:val="00B21F73"/>
    <w:rsid w:val="00B44306"/>
    <w:rsid w:val="00B452F9"/>
    <w:rsid w:val="00B60927"/>
    <w:rsid w:val="00C45BE6"/>
    <w:rsid w:val="00C569DE"/>
    <w:rsid w:val="00C97A8D"/>
    <w:rsid w:val="00CA7098"/>
    <w:rsid w:val="00D527BB"/>
    <w:rsid w:val="00DB526A"/>
    <w:rsid w:val="00DC3967"/>
    <w:rsid w:val="00DF07A5"/>
    <w:rsid w:val="00E4058A"/>
    <w:rsid w:val="00E76066"/>
    <w:rsid w:val="00E813B1"/>
    <w:rsid w:val="00F13FF5"/>
    <w:rsid w:val="00F54B91"/>
    <w:rsid w:val="00F572C1"/>
    <w:rsid w:val="00F84D6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3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rsid w:val="008E23F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8E23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TitleChar">
    <w:name w:val="Title Char"/>
    <w:basedOn w:val="DefaultParagraphFont"/>
    <w:link w:val="Title"/>
    <w:rsid w:val="008E23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ListParagraph">
    <w:name w:val="List Paragraph"/>
    <w:aliases w:val="List Paragraph 1,List Paragraph1"/>
    <w:basedOn w:val="Normal"/>
    <w:link w:val="ListParagraphChar"/>
    <w:uiPriority w:val="34"/>
    <w:qFormat/>
    <w:rsid w:val="008E23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7A51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7A51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qFormat/>
    <w:rsid w:val="007A5165"/>
    <w:pPr>
      <w:spacing w:after="200" w:line="276" w:lineRule="auto"/>
      <w:ind w:left="720"/>
    </w:pPr>
    <w:rPr>
      <w:rFonts w:ascii="Calibri" w:eastAsia="Times New Roman" w:hAnsi="Calibri" w:cs="Calibri"/>
      <w:lang w:val="ro-RO" w:eastAsia="ro-RO"/>
    </w:rPr>
  </w:style>
  <w:style w:type="character" w:customStyle="1" w:styleId="ListParagraphChar">
    <w:name w:val="List Paragraph Char"/>
    <w:aliases w:val="List Paragraph 1 Char,List Paragraph1 Char"/>
    <w:link w:val="ListParagraph"/>
    <w:uiPriority w:val="34"/>
    <w:locked/>
    <w:rsid w:val="00CA7098"/>
  </w:style>
  <w:style w:type="paragraph" w:styleId="NoSpacing">
    <w:name w:val="No Spacing"/>
    <w:uiPriority w:val="1"/>
    <w:qFormat/>
    <w:rsid w:val="00CA70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3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rsid w:val="008E23F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8E23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TitleChar">
    <w:name w:val="Title Char"/>
    <w:basedOn w:val="DefaultParagraphFont"/>
    <w:link w:val="Title"/>
    <w:rsid w:val="008E23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ListParagraph">
    <w:name w:val="List Paragraph"/>
    <w:aliases w:val="List Paragraph 1,List Paragraph1"/>
    <w:basedOn w:val="Normal"/>
    <w:link w:val="ListParagraphChar"/>
    <w:uiPriority w:val="34"/>
    <w:qFormat/>
    <w:rsid w:val="008E23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7A51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7A51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qFormat/>
    <w:rsid w:val="007A5165"/>
    <w:pPr>
      <w:spacing w:after="200" w:line="276" w:lineRule="auto"/>
      <w:ind w:left="720"/>
    </w:pPr>
    <w:rPr>
      <w:rFonts w:ascii="Calibri" w:eastAsia="Times New Roman" w:hAnsi="Calibri" w:cs="Calibri"/>
      <w:lang w:val="ro-RO" w:eastAsia="ro-RO"/>
    </w:rPr>
  </w:style>
  <w:style w:type="character" w:customStyle="1" w:styleId="ListParagraphChar">
    <w:name w:val="List Paragraph Char"/>
    <w:aliases w:val="List Paragraph 1 Char,List Paragraph1 Char"/>
    <w:link w:val="ListParagraph"/>
    <w:uiPriority w:val="34"/>
    <w:locked/>
    <w:rsid w:val="00CA7098"/>
  </w:style>
  <w:style w:type="paragraph" w:styleId="NoSpacing">
    <w:name w:val="No Spacing"/>
    <w:uiPriority w:val="1"/>
    <w:qFormat/>
    <w:rsid w:val="00CA70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9E93-A504-436A-8942-7EA19579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Tatiana Lupașco</cp:lastModifiedBy>
  <cp:revision>2</cp:revision>
  <cp:lastPrinted>2018-07-15T14:16:00Z</cp:lastPrinted>
  <dcterms:created xsi:type="dcterms:W3CDTF">2018-07-16T13:24:00Z</dcterms:created>
  <dcterms:modified xsi:type="dcterms:W3CDTF">2018-07-16T13:24:00Z</dcterms:modified>
</cp:coreProperties>
</file>